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FE860">
      <w:pPr>
        <w:rPr>
          <w:rFonts w:ascii="宋体" w:hAnsi="宋体" w:eastAsia="宋体" w:cs="宋体"/>
          <w:b/>
          <w:sz w:val="27"/>
          <w:szCs w:val="27"/>
        </w:rPr>
      </w:pPr>
      <w:bookmarkStart w:id="138" w:name="_GoBack"/>
      <w:bookmarkEnd w:id="138"/>
    </w:p>
    <w:p w14:paraId="1A469EBA">
      <w:pPr>
        <w:ind w:left="391" w:leftChars="186"/>
        <w:jc w:val="center"/>
        <w:rPr>
          <w:rFonts w:hint="eastAsia" w:ascii="宋体" w:hAnsi="宋体" w:eastAsia="宋体" w:cs="宋体"/>
          <w:b/>
          <w:w w:val="90"/>
          <w:sz w:val="36"/>
          <w:szCs w:val="36"/>
          <w:lang w:eastAsia="zh-CN"/>
        </w:rPr>
      </w:pPr>
      <w:r>
        <w:rPr>
          <w:rFonts w:hint="eastAsia" w:ascii="宋体" w:hAnsi="宋体" w:eastAsia="宋体" w:cs="宋体"/>
          <w:b/>
          <w:w w:val="90"/>
          <w:sz w:val="36"/>
          <w:szCs w:val="36"/>
          <w:lang w:eastAsia="zh-CN"/>
        </w:rPr>
        <w:t>竹山县2025年9月至202</w:t>
      </w:r>
      <w:r>
        <w:rPr>
          <w:rFonts w:hint="eastAsia" w:ascii="宋体" w:hAnsi="宋体" w:eastAsia="宋体" w:cs="宋体"/>
          <w:b/>
          <w:w w:val="90"/>
          <w:sz w:val="36"/>
          <w:szCs w:val="36"/>
          <w:lang w:val="en-US" w:eastAsia="zh-CN"/>
        </w:rPr>
        <w:t>6</w:t>
      </w:r>
      <w:r>
        <w:rPr>
          <w:rFonts w:hint="eastAsia" w:ascii="宋体" w:hAnsi="宋体" w:eastAsia="宋体" w:cs="宋体"/>
          <w:b/>
          <w:w w:val="90"/>
          <w:sz w:val="36"/>
          <w:szCs w:val="36"/>
          <w:lang w:eastAsia="zh-CN"/>
        </w:rPr>
        <w:t>年9月工业项目及社会资本投资的房屋建筑工程施工图联合审查（含人防、消防审查及相关的技术服务）遴选第三方服务机构</w:t>
      </w:r>
    </w:p>
    <w:p w14:paraId="3DE87180">
      <w:pPr>
        <w:ind w:left="391" w:leftChars="186"/>
        <w:jc w:val="center"/>
        <w:rPr>
          <w:rFonts w:hint="eastAsia" w:ascii="宋体" w:hAnsi="宋体" w:eastAsia="宋体" w:cs="宋体"/>
          <w:b/>
          <w:w w:val="90"/>
          <w:sz w:val="36"/>
          <w:szCs w:val="36"/>
          <w:lang w:eastAsia="zh-CN"/>
        </w:rPr>
      </w:pPr>
    </w:p>
    <w:p w14:paraId="3547E948">
      <w:pPr>
        <w:pStyle w:val="29"/>
        <w:spacing w:after="156"/>
        <w:jc w:val="both"/>
        <w:rPr>
          <w:color w:val="auto"/>
        </w:rPr>
      </w:pPr>
    </w:p>
    <w:p w14:paraId="7A3B0D60">
      <w:pPr>
        <w:pStyle w:val="29"/>
        <w:spacing w:after="156"/>
        <w:rPr>
          <w:rFonts w:ascii="宋体" w:hAnsi="宋体" w:eastAsia="宋体" w:cs="宋体"/>
          <w:color w:val="auto"/>
        </w:rPr>
      </w:pPr>
    </w:p>
    <w:p w14:paraId="03C2C28C">
      <w:pPr>
        <w:ind w:left="391" w:leftChars="186"/>
        <w:jc w:val="center"/>
        <w:outlineLvl w:val="0"/>
        <w:rPr>
          <w:rFonts w:ascii="宋体" w:hAnsi="宋体" w:cs="宋体"/>
          <w:b/>
          <w:w w:val="90"/>
          <w:sz w:val="72"/>
          <w:szCs w:val="72"/>
        </w:rPr>
      </w:pPr>
      <w:bookmarkStart w:id="0" w:name="_Toc4776"/>
      <w:bookmarkStart w:id="1" w:name="_Toc2541"/>
      <w:bookmarkStart w:id="2" w:name="_Toc23818"/>
      <w:r>
        <w:rPr>
          <w:rFonts w:hint="eastAsia" w:ascii="宋体" w:hAnsi="宋体" w:cs="宋体"/>
          <w:b/>
          <w:w w:val="90"/>
          <w:sz w:val="72"/>
          <w:szCs w:val="72"/>
        </w:rPr>
        <w:t>竞争性磋商文件</w:t>
      </w:r>
      <w:bookmarkEnd w:id="0"/>
      <w:bookmarkEnd w:id="1"/>
      <w:bookmarkEnd w:id="2"/>
    </w:p>
    <w:p w14:paraId="65F8C8A4">
      <w:pPr>
        <w:pStyle w:val="32"/>
        <w:ind w:firstLine="2800" w:firstLineChars="1000"/>
        <w:rPr>
          <w:rFonts w:hint="eastAsia" w:ascii="宋体" w:hAnsi="宋体"/>
          <w:color w:val="auto"/>
          <w:sz w:val="28"/>
          <w:szCs w:val="28"/>
          <w:lang w:val="en-US" w:eastAsia="zh-CN"/>
        </w:rPr>
      </w:pPr>
      <w:r>
        <w:rPr>
          <w:rFonts w:hint="eastAsia" w:ascii="宋体" w:hAnsi="宋体"/>
          <w:sz w:val="28"/>
          <w:szCs w:val="28"/>
        </w:rPr>
        <w:t>项目编号</w:t>
      </w:r>
      <w:r>
        <w:rPr>
          <w:rFonts w:hint="eastAsia" w:ascii="宋体" w:hAnsi="宋体"/>
          <w:sz w:val="28"/>
          <w:szCs w:val="28"/>
          <w:lang w:eastAsia="zh-CN"/>
        </w:rPr>
        <w:t>：HBHRD-2025-0</w:t>
      </w:r>
      <w:r>
        <w:rPr>
          <w:rFonts w:hint="eastAsia" w:ascii="宋体" w:hAnsi="宋体"/>
          <w:sz w:val="28"/>
          <w:szCs w:val="28"/>
          <w:lang w:val="en-US" w:eastAsia="zh-CN"/>
        </w:rPr>
        <w:t>9</w:t>
      </w:r>
      <w:r>
        <w:rPr>
          <w:rFonts w:hint="eastAsia" w:ascii="宋体" w:hAnsi="宋体"/>
          <w:sz w:val="28"/>
          <w:szCs w:val="28"/>
          <w:lang w:eastAsia="zh-CN"/>
        </w:rPr>
        <w:t>01</w:t>
      </w:r>
    </w:p>
    <w:p w14:paraId="31231331">
      <w:pPr>
        <w:pStyle w:val="9"/>
      </w:pPr>
    </w:p>
    <w:p w14:paraId="09023394">
      <w:pPr>
        <w:ind w:left="391" w:leftChars="186"/>
        <w:jc w:val="center"/>
        <w:rPr>
          <w:rFonts w:ascii="宋体" w:hAnsi="宋体" w:cs="宋体"/>
          <w:sz w:val="44"/>
        </w:rPr>
      </w:pPr>
    </w:p>
    <w:p w14:paraId="56B1BC79">
      <w:pPr>
        <w:pStyle w:val="29"/>
        <w:jc w:val="both"/>
        <w:rPr>
          <w:color w:val="auto"/>
        </w:rPr>
      </w:pPr>
    </w:p>
    <w:p w14:paraId="6D91A995">
      <w:pPr>
        <w:spacing w:line="360" w:lineRule="auto"/>
        <w:jc w:val="both"/>
        <w:outlineLvl w:val="0"/>
        <w:rPr>
          <w:rFonts w:hint="eastAsia" w:ascii="宋体" w:hAnsi="宋体" w:cs="宋体"/>
          <w:b/>
          <w:w w:val="90"/>
          <w:sz w:val="32"/>
          <w:szCs w:val="32"/>
        </w:rPr>
      </w:pPr>
      <w:bookmarkStart w:id="3" w:name="_Toc19844"/>
      <w:bookmarkStart w:id="4" w:name="_Toc16738"/>
    </w:p>
    <w:p w14:paraId="0515BC84">
      <w:pPr>
        <w:spacing w:line="360" w:lineRule="auto"/>
        <w:jc w:val="both"/>
        <w:outlineLvl w:val="0"/>
        <w:rPr>
          <w:rFonts w:hint="eastAsia" w:ascii="宋体" w:hAnsi="宋体" w:cs="宋体"/>
          <w:b/>
          <w:w w:val="90"/>
          <w:sz w:val="32"/>
          <w:szCs w:val="32"/>
        </w:rPr>
      </w:pPr>
    </w:p>
    <w:p w14:paraId="60B34EF7">
      <w:pPr>
        <w:spacing w:line="360" w:lineRule="auto"/>
        <w:jc w:val="center"/>
        <w:outlineLvl w:val="0"/>
        <w:rPr>
          <w:rFonts w:hint="eastAsia" w:ascii="宋体" w:hAnsi="宋体" w:cs="宋体"/>
          <w:b/>
          <w:w w:val="90"/>
          <w:sz w:val="32"/>
          <w:szCs w:val="32"/>
          <w:lang w:eastAsia="zh-CN"/>
        </w:rPr>
      </w:pPr>
      <w:bookmarkStart w:id="5" w:name="_Toc28962"/>
      <w:r>
        <w:rPr>
          <w:rFonts w:hint="eastAsia" w:ascii="宋体" w:hAnsi="宋体" w:cs="宋体"/>
          <w:b/>
          <w:w w:val="90"/>
          <w:sz w:val="32"/>
          <w:szCs w:val="32"/>
        </w:rPr>
        <w:t>采购人：</w:t>
      </w:r>
      <w:bookmarkEnd w:id="3"/>
      <w:bookmarkEnd w:id="4"/>
      <w:bookmarkStart w:id="6" w:name="_Toc11285"/>
      <w:bookmarkStart w:id="7" w:name="_Toc31453"/>
      <w:r>
        <w:rPr>
          <w:rFonts w:hint="eastAsia" w:ascii="宋体" w:hAnsi="宋体" w:cs="宋体"/>
          <w:b/>
          <w:w w:val="90"/>
          <w:sz w:val="32"/>
          <w:szCs w:val="32"/>
          <w:lang w:eastAsia="zh-CN"/>
        </w:rPr>
        <w:t>竹山县住房和城乡建设局</w:t>
      </w:r>
      <w:bookmarkEnd w:id="5"/>
    </w:p>
    <w:p w14:paraId="501BD847">
      <w:pPr>
        <w:spacing w:line="360" w:lineRule="auto"/>
        <w:jc w:val="center"/>
        <w:outlineLvl w:val="0"/>
        <w:rPr>
          <w:rFonts w:hint="eastAsia" w:ascii="宋体" w:hAnsi="宋体" w:cs="宋体"/>
          <w:b/>
          <w:kern w:val="0"/>
          <w:sz w:val="32"/>
          <w:szCs w:val="32"/>
          <w:lang w:eastAsia="zh-CN"/>
        </w:rPr>
      </w:pPr>
      <w:bookmarkStart w:id="8" w:name="_Toc26383"/>
      <w:r>
        <w:rPr>
          <w:rFonts w:hint="eastAsia" w:ascii="宋体" w:hAnsi="宋体" w:cs="宋体"/>
          <w:b/>
          <w:kern w:val="0"/>
          <w:sz w:val="32"/>
          <w:szCs w:val="32"/>
          <w:lang w:eastAsia="zh-CN"/>
        </w:rPr>
        <w:t>代理机构：</w:t>
      </w:r>
      <w:bookmarkEnd w:id="6"/>
      <w:bookmarkEnd w:id="7"/>
      <w:r>
        <w:rPr>
          <w:rFonts w:hint="eastAsia" w:ascii="宋体" w:hAnsi="宋体" w:cs="宋体"/>
          <w:b/>
          <w:kern w:val="0"/>
          <w:sz w:val="32"/>
          <w:szCs w:val="32"/>
          <w:lang w:eastAsia="zh-CN"/>
        </w:rPr>
        <w:t>湖北华瑞达建设工程咨询有限公司</w:t>
      </w:r>
      <w:bookmarkEnd w:id="8"/>
      <w:bookmarkStart w:id="9" w:name="_Toc8339"/>
      <w:bookmarkStart w:id="10" w:name="_Toc24340"/>
    </w:p>
    <w:p w14:paraId="1B619C99">
      <w:pPr>
        <w:spacing w:line="360" w:lineRule="auto"/>
        <w:jc w:val="center"/>
        <w:outlineLvl w:val="0"/>
        <w:rPr>
          <w:rFonts w:hint="eastAsia" w:ascii="宋体" w:hAnsi="宋体" w:cs="宋体"/>
          <w:b/>
          <w:kern w:val="0"/>
          <w:sz w:val="32"/>
          <w:szCs w:val="32"/>
          <w:lang w:eastAsia="zh-CN"/>
        </w:rPr>
      </w:pPr>
    </w:p>
    <w:p w14:paraId="785CF9F2">
      <w:pPr>
        <w:spacing w:line="360" w:lineRule="auto"/>
        <w:jc w:val="center"/>
        <w:outlineLvl w:val="0"/>
        <w:rPr>
          <w:rFonts w:hint="eastAsia" w:ascii="宋体" w:hAnsi="宋体" w:cs="宋体"/>
          <w:b/>
          <w:kern w:val="0"/>
          <w:sz w:val="32"/>
          <w:szCs w:val="32"/>
          <w:lang w:eastAsia="zh-CN"/>
        </w:rPr>
        <w:sectPr>
          <w:footerReference r:id="rId3" w:type="default"/>
          <w:pgSz w:w="11906" w:h="16838"/>
          <w:pgMar w:top="1440" w:right="1246" w:bottom="1440" w:left="1200" w:header="851" w:footer="992" w:gutter="0"/>
          <w:cols w:space="425" w:num="1"/>
          <w:docGrid w:type="lines" w:linePitch="312" w:charSpace="0"/>
        </w:sectPr>
      </w:pPr>
      <w:bookmarkStart w:id="11" w:name="_Toc24681"/>
      <w:r>
        <w:rPr>
          <w:rFonts w:hint="eastAsia" w:ascii="宋体" w:hAnsi="宋体" w:cs="宋体"/>
          <w:b/>
          <w:kern w:val="0"/>
          <w:sz w:val="32"/>
          <w:szCs w:val="32"/>
          <w:lang w:eastAsia="zh-CN"/>
        </w:rPr>
        <w:t>二○二</w:t>
      </w:r>
      <w:r>
        <w:rPr>
          <w:rFonts w:hint="eastAsia" w:ascii="宋体" w:hAnsi="宋体" w:cs="宋体"/>
          <w:b/>
          <w:kern w:val="0"/>
          <w:sz w:val="32"/>
          <w:szCs w:val="32"/>
          <w:lang w:val="en-US" w:eastAsia="zh-CN"/>
        </w:rPr>
        <w:t>五</w:t>
      </w:r>
      <w:r>
        <w:rPr>
          <w:rFonts w:hint="eastAsia" w:ascii="宋体" w:hAnsi="宋体" w:cs="宋体"/>
          <w:b/>
          <w:kern w:val="0"/>
          <w:sz w:val="32"/>
          <w:szCs w:val="32"/>
          <w:lang w:eastAsia="zh-CN"/>
        </w:rPr>
        <w:t>年</w:t>
      </w:r>
      <w:r>
        <w:rPr>
          <w:rFonts w:hint="eastAsia" w:ascii="宋体" w:hAnsi="宋体" w:cs="宋体"/>
          <w:b/>
          <w:kern w:val="0"/>
          <w:sz w:val="32"/>
          <w:szCs w:val="32"/>
          <w:lang w:val="en-US" w:eastAsia="zh-CN"/>
        </w:rPr>
        <w:t>九</w:t>
      </w:r>
      <w:r>
        <w:rPr>
          <w:rFonts w:hint="eastAsia" w:ascii="宋体" w:hAnsi="宋体" w:cs="宋体"/>
          <w:b/>
          <w:kern w:val="0"/>
          <w:sz w:val="32"/>
          <w:szCs w:val="32"/>
          <w:lang w:eastAsia="zh-CN"/>
        </w:rPr>
        <w:t>月</w:t>
      </w:r>
      <w:bookmarkEnd w:id="9"/>
      <w:bookmarkEnd w:id="10"/>
      <w:bookmarkEnd w:id="11"/>
    </w:p>
    <w:sdt>
      <w:sdtPr>
        <w:rPr>
          <w:rFonts w:ascii="宋体" w:hAnsi="宋体" w:eastAsia="宋体" w:cstheme="minorBidi"/>
          <w:kern w:val="2"/>
          <w:sz w:val="21"/>
          <w:szCs w:val="22"/>
          <w:lang w:val="en-US" w:eastAsia="zh-CN" w:bidi="ar-SA"/>
        </w:rPr>
        <w:id w:val="147469067"/>
        <w15:color w:val="DBDBDB"/>
        <w:docPartObj>
          <w:docPartGallery w:val="Table of Contents"/>
          <w:docPartUnique/>
        </w:docPartObj>
      </w:sdtPr>
      <w:sdtEndPr>
        <w:rPr>
          <w:rFonts w:ascii="宋体" w:hAnsi="宋体" w:eastAsia="宋体" w:cstheme="minorBidi"/>
          <w:b/>
          <w:kern w:val="2"/>
          <w:sz w:val="24"/>
          <w:szCs w:val="24"/>
          <w:lang w:val="en-US" w:eastAsia="zh-CN" w:bidi="ar-SA"/>
        </w:rPr>
      </w:sdtEndPr>
      <w:sdtContent>
        <w:p w14:paraId="4D516C13">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eastAsia="zh-CN"/>
            </w:rPr>
            <w:t>　　　　</w:t>
          </w:r>
          <w:r>
            <w:rPr>
              <w:rFonts w:hint="eastAsia" w:ascii="黑体" w:hAnsi="黑体" w:eastAsia="黑体" w:cs="黑体"/>
              <w:sz w:val="36"/>
              <w:szCs w:val="36"/>
            </w:rPr>
            <w:t>录</w:t>
          </w:r>
        </w:p>
        <w:p w14:paraId="7B8CB49B">
          <w:pPr>
            <w:pStyle w:val="18"/>
            <w:tabs>
              <w:tab w:val="right" w:leader="dot" w:pos="8306"/>
            </w:tabs>
            <w:rPr>
              <w:b/>
              <w:bCs/>
              <w:sz w:val="22"/>
              <w:szCs w:val="24"/>
            </w:rPr>
          </w:pPr>
          <w:r>
            <w:rPr>
              <w:sz w:val="24"/>
              <w:szCs w:val="24"/>
            </w:rPr>
            <w:fldChar w:fldCharType="begin"/>
          </w:r>
          <w:r>
            <w:rPr>
              <w:sz w:val="24"/>
              <w:szCs w:val="24"/>
            </w:rPr>
            <w:instrText xml:space="preserve">TOC \o "1-2" \h \u </w:instrText>
          </w:r>
          <w:r>
            <w:rPr>
              <w:sz w:val="24"/>
              <w:szCs w:val="24"/>
            </w:rPr>
            <w:fldChar w:fldCharType="separate"/>
          </w:r>
        </w:p>
        <w:p w14:paraId="23D16813">
          <w:pPr>
            <w:pStyle w:val="18"/>
            <w:tabs>
              <w:tab w:val="right" w:leader="dot" w:pos="8306"/>
            </w:tabs>
            <w:rPr>
              <w:b/>
              <w:bCs/>
              <w:sz w:val="22"/>
              <w:szCs w:val="24"/>
            </w:rPr>
          </w:pPr>
          <w:r>
            <w:rPr>
              <w:b/>
              <w:bCs/>
              <w:sz w:val="22"/>
              <w:szCs w:val="28"/>
            </w:rPr>
            <w:fldChar w:fldCharType="begin"/>
          </w:r>
          <w:r>
            <w:rPr>
              <w:b/>
              <w:bCs/>
              <w:sz w:val="22"/>
              <w:szCs w:val="28"/>
            </w:rPr>
            <w:instrText xml:space="preserve"> HYPERLINK \l _Toc30054 </w:instrText>
          </w:r>
          <w:r>
            <w:rPr>
              <w:b/>
              <w:bCs/>
              <w:sz w:val="22"/>
              <w:szCs w:val="28"/>
            </w:rPr>
            <w:fldChar w:fldCharType="separate"/>
          </w:r>
          <w:r>
            <w:rPr>
              <w:rFonts w:hint="eastAsia" w:eastAsia="黑体" w:asciiTheme="minorHAnsi" w:hAnsiTheme="minorHAnsi" w:cstheme="minorBidi"/>
              <w:b/>
              <w:bCs/>
              <w:kern w:val="44"/>
              <w:sz w:val="22"/>
              <w:szCs w:val="36"/>
              <w:lang w:val="en-US" w:eastAsia="zh-CN" w:bidi="ar-SA"/>
            </w:rPr>
            <w:t>第一章  竞争性磋商公告</w:t>
          </w:r>
          <w:r>
            <w:rPr>
              <w:b/>
              <w:bCs/>
              <w:sz w:val="22"/>
              <w:szCs w:val="24"/>
            </w:rPr>
            <w:tab/>
          </w:r>
          <w:r>
            <w:rPr>
              <w:b/>
              <w:bCs/>
              <w:sz w:val="22"/>
              <w:szCs w:val="24"/>
            </w:rPr>
            <w:fldChar w:fldCharType="begin"/>
          </w:r>
          <w:r>
            <w:rPr>
              <w:b/>
              <w:bCs/>
              <w:sz w:val="22"/>
              <w:szCs w:val="24"/>
            </w:rPr>
            <w:instrText xml:space="preserve"> PAGEREF _Toc30054 \h </w:instrText>
          </w:r>
          <w:r>
            <w:rPr>
              <w:b/>
              <w:bCs/>
              <w:sz w:val="22"/>
              <w:szCs w:val="24"/>
            </w:rPr>
            <w:fldChar w:fldCharType="separate"/>
          </w:r>
          <w:r>
            <w:rPr>
              <w:b/>
              <w:bCs/>
              <w:sz w:val="22"/>
              <w:szCs w:val="24"/>
            </w:rPr>
            <w:t>1</w:t>
          </w:r>
          <w:r>
            <w:rPr>
              <w:b/>
              <w:bCs/>
              <w:sz w:val="22"/>
              <w:szCs w:val="24"/>
            </w:rPr>
            <w:fldChar w:fldCharType="end"/>
          </w:r>
          <w:r>
            <w:rPr>
              <w:b/>
              <w:bCs/>
              <w:sz w:val="22"/>
              <w:szCs w:val="28"/>
            </w:rPr>
            <w:fldChar w:fldCharType="end"/>
          </w:r>
        </w:p>
        <w:p w14:paraId="0B691B24">
          <w:pPr>
            <w:pStyle w:val="18"/>
            <w:tabs>
              <w:tab w:val="right" w:leader="dot" w:pos="8306"/>
            </w:tabs>
            <w:rPr>
              <w:b/>
              <w:bCs/>
              <w:sz w:val="22"/>
              <w:szCs w:val="24"/>
            </w:rPr>
          </w:pPr>
          <w:r>
            <w:rPr>
              <w:b/>
              <w:bCs/>
              <w:sz w:val="22"/>
              <w:szCs w:val="28"/>
            </w:rPr>
            <w:fldChar w:fldCharType="begin"/>
          </w:r>
          <w:r>
            <w:rPr>
              <w:b/>
              <w:bCs/>
              <w:sz w:val="22"/>
              <w:szCs w:val="28"/>
            </w:rPr>
            <w:instrText xml:space="preserve"> HYPERLINK \l _Toc15361 </w:instrText>
          </w:r>
          <w:r>
            <w:rPr>
              <w:b/>
              <w:bCs/>
              <w:sz w:val="22"/>
              <w:szCs w:val="28"/>
            </w:rPr>
            <w:fldChar w:fldCharType="separate"/>
          </w:r>
          <w:r>
            <w:rPr>
              <w:rFonts w:hint="eastAsia" w:eastAsia="黑体" w:asciiTheme="minorHAnsi" w:hAnsiTheme="minorHAnsi" w:cstheme="minorBidi"/>
              <w:b/>
              <w:bCs/>
              <w:kern w:val="44"/>
              <w:sz w:val="22"/>
              <w:szCs w:val="36"/>
              <w:lang w:val="en-US" w:eastAsia="zh-CN" w:bidi="ar-SA"/>
            </w:rPr>
            <w:t>第二章 供应商须知</w:t>
          </w:r>
          <w:r>
            <w:rPr>
              <w:b/>
              <w:bCs/>
              <w:sz w:val="22"/>
              <w:szCs w:val="24"/>
            </w:rPr>
            <w:tab/>
          </w:r>
          <w:r>
            <w:rPr>
              <w:b/>
              <w:bCs/>
              <w:sz w:val="22"/>
              <w:szCs w:val="24"/>
            </w:rPr>
            <w:fldChar w:fldCharType="begin"/>
          </w:r>
          <w:r>
            <w:rPr>
              <w:b/>
              <w:bCs/>
              <w:sz w:val="22"/>
              <w:szCs w:val="24"/>
            </w:rPr>
            <w:instrText xml:space="preserve"> PAGEREF _Toc15361 \h </w:instrText>
          </w:r>
          <w:r>
            <w:rPr>
              <w:b/>
              <w:bCs/>
              <w:sz w:val="22"/>
              <w:szCs w:val="24"/>
            </w:rPr>
            <w:fldChar w:fldCharType="separate"/>
          </w:r>
          <w:r>
            <w:rPr>
              <w:b/>
              <w:bCs/>
              <w:sz w:val="22"/>
              <w:szCs w:val="24"/>
            </w:rPr>
            <w:t>4</w:t>
          </w:r>
          <w:r>
            <w:rPr>
              <w:b/>
              <w:bCs/>
              <w:sz w:val="22"/>
              <w:szCs w:val="24"/>
            </w:rPr>
            <w:fldChar w:fldCharType="end"/>
          </w:r>
          <w:r>
            <w:rPr>
              <w:b/>
              <w:bCs/>
              <w:sz w:val="22"/>
              <w:szCs w:val="28"/>
            </w:rPr>
            <w:fldChar w:fldCharType="end"/>
          </w:r>
        </w:p>
        <w:p w14:paraId="29C39551">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_Toc18339 </w:instrText>
          </w:r>
          <w:r>
            <w:rPr>
              <w:b/>
              <w:bCs/>
              <w:sz w:val="22"/>
              <w:szCs w:val="28"/>
            </w:rPr>
            <w:fldChar w:fldCharType="separate"/>
          </w:r>
          <w:r>
            <w:rPr>
              <w:rFonts w:hint="eastAsia"/>
              <w:b/>
              <w:bCs/>
              <w:sz w:val="22"/>
              <w:szCs w:val="24"/>
            </w:rPr>
            <w:t>一、 总则</w:t>
          </w:r>
          <w:r>
            <w:rPr>
              <w:b/>
              <w:bCs/>
              <w:sz w:val="22"/>
              <w:szCs w:val="24"/>
            </w:rPr>
            <w:tab/>
          </w:r>
          <w:r>
            <w:rPr>
              <w:b/>
              <w:bCs/>
              <w:sz w:val="22"/>
              <w:szCs w:val="24"/>
            </w:rPr>
            <w:fldChar w:fldCharType="begin"/>
          </w:r>
          <w:r>
            <w:rPr>
              <w:b/>
              <w:bCs/>
              <w:sz w:val="22"/>
              <w:szCs w:val="24"/>
            </w:rPr>
            <w:instrText xml:space="preserve"> PAGEREF _Toc18339 \h </w:instrText>
          </w:r>
          <w:r>
            <w:rPr>
              <w:b/>
              <w:bCs/>
              <w:sz w:val="22"/>
              <w:szCs w:val="24"/>
            </w:rPr>
            <w:fldChar w:fldCharType="separate"/>
          </w:r>
          <w:r>
            <w:rPr>
              <w:b/>
              <w:bCs/>
              <w:sz w:val="22"/>
              <w:szCs w:val="24"/>
            </w:rPr>
            <w:t>9</w:t>
          </w:r>
          <w:r>
            <w:rPr>
              <w:b/>
              <w:bCs/>
              <w:sz w:val="22"/>
              <w:szCs w:val="24"/>
            </w:rPr>
            <w:fldChar w:fldCharType="end"/>
          </w:r>
          <w:r>
            <w:rPr>
              <w:b/>
              <w:bCs/>
              <w:sz w:val="22"/>
              <w:szCs w:val="28"/>
            </w:rPr>
            <w:fldChar w:fldCharType="end"/>
          </w:r>
        </w:p>
        <w:p w14:paraId="75FAF488">
          <w:pPr>
            <w:pStyle w:val="19"/>
            <w:tabs>
              <w:tab w:val="right" w:leader="dot" w:pos="8306"/>
            </w:tabs>
            <w:rPr>
              <w:b/>
              <w:bCs/>
              <w:sz w:val="22"/>
              <w:szCs w:val="24"/>
            </w:rPr>
          </w:pPr>
          <w:r>
            <w:rPr>
              <w:b/>
              <w:bCs/>
              <w:sz w:val="22"/>
              <w:szCs w:val="28"/>
            </w:rPr>
            <w:fldChar w:fldCharType="begin"/>
          </w:r>
          <w:r>
            <w:rPr>
              <w:b/>
              <w:bCs/>
              <w:sz w:val="22"/>
              <w:szCs w:val="28"/>
            </w:rPr>
            <w:instrText xml:space="preserve"> HYPERLINK \l _Toc4874 </w:instrText>
          </w:r>
          <w:r>
            <w:rPr>
              <w:b/>
              <w:bCs/>
              <w:sz w:val="22"/>
              <w:szCs w:val="28"/>
            </w:rPr>
            <w:fldChar w:fldCharType="separate"/>
          </w:r>
          <w:r>
            <w:rPr>
              <w:rFonts w:hint="eastAsia"/>
              <w:b/>
              <w:bCs/>
              <w:sz w:val="22"/>
              <w:szCs w:val="24"/>
            </w:rPr>
            <w:t>二、 竞争性磋商采购文件</w:t>
          </w:r>
          <w:r>
            <w:rPr>
              <w:b/>
              <w:bCs/>
              <w:sz w:val="22"/>
              <w:szCs w:val="24"/>
            </w:rPr>
            <w:tab/>
          </w:r>
          <w:r>
            <w:rPr>
              <w:b/>
              <w:bCs/>
              <w:sz w:val="22"/>
              <w:szCs w:val="24"/>
            </w:rPr>
            <w:fldChar w:fldCharType="begin"/>
          </w:r>
          <w:r>
            <w:rPr>
              <w:b/>
              <w:bCs/>
              <w:sz w:val="22"/>
              <w:szCs w:val="24"/>
            </w:rPr>
            <w:instrText xml:space="preserve"> PAGEREF _Toc4874 \h </w:instrText>
          </w:r>
          <w:r>
            <w:rPr>
              <w:b/>
              <w:bCs/>
              <w:sz w:val="22"/>
              <w:szCs w:val="24"/>
            </w:rPr>
            <w:fldChar w:fldCharType="separate"/>
          </w:r>
          <w:r>
            <w:rPr>
              <w:b/>
              <w:bCs/>
              <w:sz w:val="22"/>
              <w:szCs w:val="24"/>
            </w:rPr>
            <w:t>9</w:t>
          </w:r>
          <w:r>
            <w:rPr>
              <w:b/>
              <w:bCs/>
              <w:sz w:val="22"/>
              <w:szCs w:val="24"/>
            </w:rPr>
            <w:fldChar w:fldCharType="end"/>
          </w:r>
          <w:r>
            <w:rPr>
              <w:b/>
              <w:bCs/>
              <w:sz w:val="22"/>
              <w:szCs w:val="28"/>
            </w:rPr>
            <w:fldChar w:fldCharType="end"/>
          </w:r>
        </w:p>
        <w:p w14:paraId="7200467B">
          <w:pPr>
            <w:pStyle w:val="19"/>
            <w:tabs>
              <w:tab w:val="right" w:leader="dot" w:pos="8306"/>
            </w:tabs>
            <w:rPr>
              <w:b/>
              <w:bCs/>
              <w:sz w:val="22"/>
              <w:szCs w:val="24"/>
            </w:rPr>
          </w:pPr>
          <w:r>
            <w:rPr>
              <w:b/>
              <w:bCs/>
              <w:sz w:val="22"/>
              <w:szCs w:val="28"/>
            </w:rPr>
            <w:fldChar w:fldCharType="begin"/>
          </w:r>
          <w:r>
            <w:rPr>
              <w:b/>
              <w:bCs/>
              <w:sz w:val="22"/>
              <w:szCs w:val="28"/>
            </w:rPr>
            <w:instrText xml:space="preserve"> HYPERLINK \l _Toc29279 </w:instrText>
          </w:r>
          <w:r>
            <w:rPr>
              <w:b/>
              <w:bCs/>
              <w:sz w:val="22"/>
              <w:szCs w:val="28"/>
            </w:rPr>
            <w:fldChar w:fldCharType="separate"/>
          </w:r>
          <w:r>
            <w:rPr>
              <w:rFonts w:hint="eastAsia"/>
              <w:b/>
              <w:bCs/>
              <w:sz w:val="22"/>
              <w:szCs w:val="24"/>
            </w:rPr>
            <w:t>三、竞争性磋商响应文件</w:t>
          </w:r>
          <w:r>
            <w:rPr>
              <w:b/>
              <w:bCs/>
              <w:sz w:val="22"/>
              <w:szCs w:val="24"/>
            </w:rPr>
            <w:tab/>
          </w:r>
          <w:r>
            <w:rPr>
              <w:b/>
              <w:bCs/>
              <w:sz w:val="22"/>
              <w:szCs w:val="24"/>
            </w:rPr>
            <w:fldChar w:fldCharType="begin"/>
          </w:r>
          <w:r>
            <w:rPr>
              <w:b/>
              <w:bCs/>
              <w:sz w:val="22"/>
              <w:szCs w:val="24"/>
            </w:rPr>
            <w:instrText xml:space="preserve"> PAGEREF _Toc29279 \h </w:instrText>
          </w:r>
          <w:r>
            <w:rPr>
              <w:b/>
              <w:bCs/>
              <w:sz w:val="22"/>
              <w:szCs w:val="24"/>
            </w:rPr>
            <w:fldChar w:fldCharType="separate"/>
          </w:r>
          <w:r>
            <w:rPr>
              <w:b/>
              <w:bCs/>
              <w:sz w:val="22"/>
              <w:szCs w:val="24"/>
            </w:rPr>
            <w:t>11</w:t>
          </w:r>
          <w:r>
            <w:rPr>
              <w:b/>
              <w:bCs/>
              <w:sz w:val="22"/>
              <w:szCs w:val="24"/>
            </w:rPr>
            <w:fldChar w:fldCharType="end"/>
          </w:r>
          <w:r>
            <w:rPr>
              <w:b/>
              <w:bCs/>
              <w:sz w:val="22"/>
              <w:szCs w:val="28"/>
            </w:rPr>
            <w:fldChar w:fldCharType="end"/>
          </w:r>
        </w:p>
        <w:p w14:paraId="7C261E06">
          <w:pPr>
            <w:pStyle w:val="19"/>
            <w:tabs>
              <w:tab w:val="right" w:leader="dot" w:pos="8306"/>
            </w:tabs>
            <w:rPr>
              <w:b/>
              <w:bCs/>
              <w:sz w:val="22"/>
              <w:szCs w:val="24"/>
            </w:rPr>
          </w:pPr>
          <w:r>
            <w:rPr>
              <w:b/>
              <w:bCs/>
              <w:sz w:val="22"/>
              <w:szCs w:val="28"/>
            </w:rPr>
            <w:fldChar w:fldCharType="begin"/>
          </w:r>
          <w:r>
            <w:rPr>
              <w:b/>
              <w:bCs/>
              <w:sz w:val="22"/>
              <w:szCs w:val="28"/>
            </w:rPr>
            <w:instrText xml:space="preserve"> HYPERLINK \l _Toc4270 </w:instrText>
          </w:r>
          <w:r>
            <w:rPr>
              <w:b/>
              <w:bCs/>
              <w:sz w:val="22"/>
              <w:szCs w:val="28"/>
            </w:rPr>
            <w:fldChar w:fldCharType="separate"/>
          </w:r>
          <w:r>
            <w:rPr>
              <w:rFonts w:hint="eastAsia"/>
              <w:b/>
              <w:bCs/>
              <w:sz w:val="22"/>
              <w:szCs w:val="24"/>
            </w:rPr>
            <w:t>四、 竞争性磋商响应文件的递交</w:t>
          </w:r>
          <w:r>
            <w:rPr>
              <w:b/>
              <w:bCs/>
              <w:sz w:val="22"/>
              <w:szCs w:val="24"/>
            </w:rPr>
            <w:tab/>
          </w:r>
          <w:r>
            <w:rPr>
              <w:b/>
              <w:bCs/>
              <w:sz w:val="22"/>
              <w:szCs w:val="24"/>
            </w:rPr>
            <w:fldChar w:fldCharType="begin"/>
          </w:r>
          <w:r>
            <w:rPr>
              <w:b/>
              <w:bCs/>
              <w:sz w:val="22"/>
              <w:szCs w:val="24"/>
            </w:rPr>
            <w:instrText xml:space="preserve"> PAGEREF _Toc4270 \h </w:instrText>
          </w:r>
          <w:r>
            <w:rPr>
              <w:b/>
              <w:bCs/>
              <w:sz w:val="22"/>
              <w:szCs w:val="24"/>
            </w:rPr>
            <w:fldChar w:fldCharType="separate"/>
          </w:r>
          <w:r>
            <w:rPr>
              <w:b/>
              <w:bCs/>
              <w:sz w:val="22"/>
              <w:szCs w:val="24"/>
            </w:rPr>
            <w:t>13</w:t>
          </w:r>
          <w:r>
            <w:rPr>
              <w:b/>
              <w:bCs/>
              <w:sz w:val="22"/>
              <w:szCs w:val="24"/>
            </w:rPr>
            <w:fldChar w:fldCharType="end"/>
          </w:r>
          <w:r>
            <w:rPr>
              <w:b/>
              <w:bCs/>
              <w:sz w:val="22"/>
              <w:szCs w:val="28"/>
            </w:rPr>
            <w:fldChar w:fldCharType="end"/>
          </w:r>
        </w:p>
        <w:p w14:paraId="3010A250">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_Toc15880 </w:instrText>
          </w:r>
          <w:r>
            <w:rPr>
              <w:b/>
              <w:bCs/>
              <w:sz w:val="22"/>
              <w:szCs w:val="28"/>
            </w:rPr>
            <w:fldChar w:fldCharType="separate"/>
          </w:r>
          <w:r>
            <w:rPr>
              <w:rFonts w:hint="eastAsia"/>
              <w:b/>
              <w:bCs/>
              <w:sz w:val="22"/>
              <w:szCs w:val="24"/>
            </w:rPr>
            <w:t>五、 磋商程序及步骤</w:t>
          </w:r>
          <w:r>
            <w:rPr>
              <w:b/>
              <w:bCs/>
              <w:sz w:val="22"/>
              <w:szCs w:val="24"/>
            </w:rPr>
            <w:tab/>
          </w:r>
          <w:r>
            <w:rPr>
              <w:b/>
              <w:bCs/>
              <w:sz w:val="22"/>
              <w:szCs w:val="24"/>
            </w:rPr>
            <w:fldChar w:fldCharType="begin"/>
          </w:r>
          <w:r>
            <w:rPr>
              <w:b/>
              <w:bCs/>
              <w:sz w:val="22"/>
              <w:szCs w:val="24"/>
            </w:rPr>
            <w:instrText xml:space="preserve"> PAGEREF _Toc15880 \h </w:instrText>
          </w:r>
          <w:r>
            <w:rPr>
              <w:b/>
              <w:bCs/>
              <w:sz w:val="22"/>
              <w:szCs w:val="24"/>
            </w:rPr>
            <w:fldChar w:fldCharType="separate"/>
          </w:r>
          <w:r>
            <w:rPr>
              <w:b/>
              <w:bCs/>
              <w:sz w:val="22"/>
              <w:szCs w:val="24"/>
            </w:rPr>
            <w:t>14</w:t>
          </w:r>
          <w:r>
            <w:rPr>
              <w:b/>
              <w:bCs/>
              <w:sz w:val="22"/>
              <w:szCs w:val="24"/>
            </w:rPr>
            <w:fldChar w:fldCharType="end"/>
          </w:r>
          <w:r>
            <w:rPr>
              <w:b/>
              <w:bCs/>
              <w:sz w:val="22"/>
              <w:szCs w:val="28"/>
            </w:rPr>
            <w:fldChar w:fldCharType="end"/>
          </w:r>
        </w:p>
        <w:p w14:paraId="448EC5AD">
          <w:pPr>
            <w:pStyle w:val="19"/>
            <w:tabs>
              <w:tab w:val="right" w:leader="dot" w:pos="8306"/>
            </w:tabs>
            <w:rPr>
              <w:b/>
              <w:bCs/>
              <w:sz w:val="22"/>
              <w:szCs w:val="24"/>
            </w:rPr>
          </w:pPr>
          <w:r>
            <w:rPr>
              <w:b/>
              <w:bCs/>
              <w:sz w:val="22"/>
              <w:szCs w:val="28"/>
            </w:rPr>
            <w:fldChar w:fldCharType="begin"/>
          </w:r>
          <w:r>
            <w:rPr>
              <w:b/>
              <w:bCs/>
              <w:sz w:val="22"/>
              <w:szCs w:val="28"/>
            </w:rPr>
            <w:instrText xml:space="preserve"> HYPERLINK \l _Toc9622 </w:instrText>
          </w:r>
          <w:r>
            <w:rPr>
              <w:b/>
              <w:bCs/>
              <w:sz w:val="22"/>
              <w:szCs w:val="28"/>
            </w:rPr>
            <w:fldChar w:fldCharType="separate"/>
          </w:r>
          <w:r>
            <w:rPr>
              <w:rFonts w:hint="eastAsia"/>
              <w:b/>
              <w:bCs/>
              <w:sz w:val="22"/>
              <w:szCs w:val="24"/>
            </w:rPr>
            <w:t>六、 成交与签订合同</w:t>
          </w:r>
          <w:r>
            <w:rPr>
              <w:b/>
              <w:bCs/>
              <w:sz w:val="22"/>
              <w:szCs w:val="24"/>
            </w:rPr>
            <w:tab/>
          </w:r>
          <w:r>
            <w:rPr>
              <w:b/>
              <w:bCs/>
              <w:sz w:val="22"/>
              <w:szCs w:val="24"/>
            </w:rPr>
            <w:fldChar w:fldCharType="begin"/>
          </w:r>
          <w:r>
            <w:rPr>
              <w:b/>
              <w:bCs/>
              <w:sz w:val="22"/>
              <w:szCs w:val="24"/>
            </w:rPr>
            <w:instrText xml:space="preserve"> PAGEREF _Toc9622 \h </w:instrText>
          </w:r>
          <w:r>
            <w:rPr>
              <w:b/>
              <w:bCs/>
              <w:sz w:val="22"/>
              <w:szCs w:val="24"/>
            </w:rPr>
            <w:fldChar w:fldCharType="separate"/>
          </w:r>
          <w:r>
            <w:rPr>
              <w:b/>
              <w:bCs/>
              <w:sz w:val="22"/>
              <w:szCs w:val="24"/>
            </w:rPr>
            <w:t>15</w:t>
          </w:r>
          <w:r>
            <w:rPr>
              <w:b/>
              <w:bCs/>
              <w:sz w:val="22"/>
              <w:szCs w:val="24"/>
            </w:rPr>
            <w:fldChar w:fldCharType="end"/>
          </w:r>
          <w:r>
            <w:rPr>
              <w:b/>
              <w:bCs/>
              <w:sz w:val="22"/>
              <w:szCs w:val="28"/>
            </w:rPr>
            <w:fldChar w:fldCharType="end"/>
          </w:r>
        </w:p>
        <w:p w14:paraId="69F2911F">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_Toc18127 </w:instrText>
          </w:r>
          <w:r>
            <w:rPr>
              <w:b/>
              <w:bCs/>
              <w:sz w:val="22"/>
              <w:szCs w:val="28"/>
            </w:rPr>
            <w:fldChar w:fldCharType="separate"/>
          </w:r>
          <w:r>
            <w:rPr>
              <w:rFonts w:hint="eastAsia"/>
              <w:b/>
              <w:bCs/>
              <w:sz w:val="22"/>
              <w:szCs w:val="24"/>
            </w:rPr>
            <w:t>七、质疑与投诉</w:t>
          </w:r>
          <w:r>
            <w:rPr>
              <w:b/>
              <w:bCs/>
              <w:sz w:val="22"/>
              <w:szCs w:val="24"/>
            </w:rPr>
            <w:tab/>
          </w:r>
          <w:r>
            <w:rPr>
              <w:b/>
              <w:bCs/>
              <w:sz w:val="22"/>
              <w:szCs w:val="24"/>
            </w:rPr>
            <w:fldChar w:fldCharType="begin"/>
          </w:r>
          <w:r>
            <w:rPr>
              <w:b/>
              <w:bCs/>
              <w:sz w:val="22"/>
              <w:szCs w:val="24"/>
            </w:rPr>
            <w:instrText xml:space="preserve"> PAGEREF _Toc18127 \h </w:instrText>
          </w:r>
          <w:r>
            <w:rPr>
              <w:b/>
              <w:bCs/>
              <w:sz w:val="22"/>
              <w:szCs w:val="24"/>
            </w:rPr>
            <w:fldChar w:fldCharType="separate"/>
          </w:r>
          <w:r>
            <w:rPr>
              <w:b/>
              <w:bCs/>
              <w:sz w:val="22"/>
              <w:szCs w:val="24"/>
            </w:rPr>
            <w:t>16</w:t>
          </w:r>
          <w:r>
            <w:rPr>
              <w:b/>
              <w:bCs/>
              <w:sz w:val="22"/>
              <w:szCs w:val="24"/>
            </w:rPr>
            <w:fldChar w:fldCharType="end"/>
          </w:r>
          <w:r>
            <w:rPr>
              <w:b/>
              <w:bCs/>
              <w:sz w:val="22"/>
              <w:szCs w:val="28"/>
            </w:rPr>
            <w:fldChar w:fldCharType="end"/>
          </w:r>
        </w:p>
        <w:p w14:paraId="7FD2167A">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_Toc10093 </w:instrText>
          </w:r>
          <w:r>
            <w:rPr>
              <w:b/>
              <w:bCs/>
              <w:sz w:val="22"/>
              <w:szCs w:val="28"/>
            </w:rPr>
            <w:fldChar w:fldCharType="separate"/>
          </w:r>
          <w:r>
            <w:rPr>
              <w:rFonts w:hint="eastAsia"/>
              <w:b/>
              <w:bCs/>
              <w:sz w:val="22"/>
              <w:szCs w:val="24"/>
            </w:rPr>
            <w:t>八、适用法律</w:t>
          </w:r>
          <w:r>
            <w:rPr>
              <w:b/>
              <w:bCs/>
              <w:sz w:val="22"/>
              <w:szCs w:val="24"/>
            </w:rPr>
            <w:tab/>
          </w:r>
          <w:r>
            <w:rPr>
              <w:b/>
              <w:bCs/>
              <w:sz w:val="22"/>
              <w:szCs w:val="24"/>
            </w:rPr>
            <w:fldChar w:fldCharType="begin"/>
          </w:r>
          <w:r>
            <w:rPr>
              <w:b/>
              <w:bCs/>
              <w:sz w:val="22"/>
              <w:szCs w:val="24"/>
            </w:rPr>
            <w:instrText xml:space="preserve"> PAGEREF _Toc10093 \h </w:instrText>
          </w:r>
          <w:r>
            <w:rPr>
              <w:b/>
              <w:bCs/>
              <w:sz w:val="22"/>
              <w:szCs w:val="24"/>
            </w:rPr>
            <w:fldChar w:fldCharType="separate"/>
          </w:r>
          <w:r>
            <w:rPr>
              <w:b/>
              <w:bCs/>
              <w:sz w:val="22"/>
              <w:szCs w:val="24"/>
            </w:rPr>
            <w:t>17</w:t>
          </w:r>
          <w:r>
            <w:rPr>
              <w:b/>
              <w:bCs/>
              <w:sz w:val="22"/>
              <w:szCs w:val="24"/>
            </w:rPr>
            <w:fldChar w:fldCharType="end"/>
          </w:r>
          <w:r>
            <w:rPr>
              <w:b/>
              <w:bCs/>
              <w:sz w:val="22"/>
              <w:szCs w:val="28"/>
            </w:rPr>
            <w:fldChar w:fldCharType="end"/>
          </w:r>
        </w:p>
        <w:p w14:paraId="558FEB7E">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_Toc18925 </w:instrText>
          </w:r>
          <w:r>
            <w:rPr>
              <w:b/>
              <w:bCs/>
              <w:sz w:val="22"/>
              <w:szCs w:val="28"/>
            </w:rPr>
            <w:fldChar w:fldCharType="separate"/>
          </w:r>
          <w:r>
            <w:rPr>
              <w:rFonts w:hint="eastAsia"/>
              <w:b/>
              <w:bCs/>
              <w:sz w:val="22"/>
              <w:szCs w:val="24"/>
            </w:rPr>
            <w:t>九、其他要求</w:t>
          </w:r>
          <w:r>
            <w:rPr>
              <w:b/>
              <w:bCs/>
              <w:sz w:val="22"/>
              <w:szCs w:val="24"/>
            </w:rPr>
            <w:tab/>
          </w:r>
          <w:r>
            <w:rPr>
              <w:b/>
              <w:bCs/>
              <w:sz w:val="22"/>
              <w:szCs w:val="24"/>
            </w:rPr>
            <w:fldChar w:fldCharType="begin"/>
          </w:r>
          <w:r>
            <w:rPr>
              <w:b/>
              <w:bCs/>
              <w:sz w:val="22"/>
              <w:szCs w:val="24"/>
            </w:rPr>
            <w:instrText xml:space="preserve"> PAGEREF _Toc18925 \h </w:instrText>
          </w:r>
          <w:r>
            <w:rPr>
              <w:b/>
              <w:bCs/>
              <w:sz w:val="22"/>
              <w:szCs w:val="24"/>
            </w:rPr>
            <w:fldChar w:fldCharType="separate"/>
          </w:r>
          <w:r>
            <w:rPr>
              <w:b/>
              <w:bCs/>
              <w:sz w:val="22"/>
              <w:szCs w:val="24"/>
            </w:rPr>
            <w:t>17</w:t>
          </w:r>
          <w:r>
            <w:rPr>
              <w:b/>
              <w:bCs/>
              <w:sz w:val="22"/>
              <w:szCs w:val="24"/>
            </w:rPr>
            <w:fldChar w:fldCharType="end"/>
          </w:r>
          <w:r>
            <w:rPr>
              <w:b/>
              <w:bCs/>
              <w:sz w:val="22"/>
              <w:szCs w:val="28"/>
            </w:rPr>
            <w:fldChar w:fldCharType="end"/>
          </w:r>
        </w:p>
        <w:p w14:paraId="7A44BEA9">
          <w:pPr>
            <w:pStyle w:val="18"/>
            <w:tabs>
              <w:tab w:val="right" w:leader="dot" w:pos="8306"/>
            </w:tabs>
            <w:rPr>
              <w:b/>
              <w:bCs/>
              <w:sz w:val="22"/>
              <w:szCs w:val="24"/>
            </w:rPr>
          </w:pPr>
          <w:r>
            <w:rPr>
              <w:b/>
              <w:bCs/>
              <w:sz w:val="22"/>
              <w:szCs w:val="28"/>
            </w:rPr>
            <w:fldChar w:fldCharType="begin"/>
          </w:r>
          <w:r>
            <w:rPr>
              <w:b/>
              <w:bCs/>
              <w:sz w:val="22"/>
              <w:szCs w:val="28"/>
            </w:rPr>
            <w:instrText xml:space="preserve"> HYPERLINK \l _Toc28717 </w:instrText>
          </w:r>
          <w:r>
            <w:rPr>
              <w:b/>
              <w:bCs/>
              <w:sz w:val="22"/>
              <w:szCs w:val="28"/>
            </w:rPr>
            <w:fldChar w:fldCharType="separate"/>
          </w:r>
          <w:r>
            <w:rPr>
              <w:rFonts w:hint="eastAsia" w:ascii="黑体" w:hAnsi="黑体" w:eastAsia="黑体"/>
              <w:b/>
              <w:bCs/>
              <w:sz w:val="22"/>
              <w:szCs w:val="36"/>
            </w:rPr>
            <w:t xml:space="preserve">第三章 </w:t>
          </w:r>
          <w:r>
            <w:rPr>
              <w:rFonts w:hint="eastAsia" w:ascii="黑体" w:hAnsi="黑体" w:eastAsia="黑体"/>
              <w:b/>
              <w:bCs/>
              <w:sz w:val="22"/>
              <w:szCs w:val="36"/>
              <w:lang w:val="en-US" w:eastAsia="zh-CN"/>
            </w:rPr>
            <w:t xml:space="preserve"> </w:t>
          </w:r>
          <w:r>
            <w:rPr>
              <w:rFonts w:hint="eastAsia" w:ascii="黑体" w:hAnsi="黑体" w:eastAsia="黑体"/>
              <w:b/>
              <w:bCs/>
              <w:sz w:val="22"/>
              <w:szCs w:val="36"/>
              <w:lang w:eastAsia="zh-CN"/>
            </w:rPr>
            <w:t>采购</w:t>
          </w:r>
          <w:r>
            <w:rPr>
              <w:rFonts w:hint="eastAsia" w:ascii="黑体" w:hAnsi="黑体" w:eastAsia="黑体"/>
              <w:b/>
              <w:bCs/>
              <w:sz w:val="22"/>
              <w:szCs w:val="36"/>
            </w:rPr>
            <w:t>内容及要求</w:t>
          </w:r>
          <w:r>
            <w:rPr>
              <w:b/>
              <w:bCs/>
              <w:sz w:val="22"/>
              <w:szCs w:val="24"/>
            </w:rPr>
            <w:tab/>
          </w:r>
          <w:r>
            <w:rPr>
              <w:b/>
              <w:bCs/>
              <w:sz w:val="22"/>
              <w:szCs w:val="24"/>
            </w:rPr>
            <w:fldChar w:fldCharType="begin"/>
          </w:r>
          <w:r>
            <w:rPr>
              <w:b/>
              <w:bCs/>
              <w:sz w:val="22"/>
              <w:szCs w:val="24"/>
            </w:rPr>
            <w:instrText xml:space="preserve"> PAGEREF _Toc28717 \h </w:instrText>
          </w:r>
          <w:r>
            <w:rPr>
              <w:b/>
              <w:bCs/>
              <w:sz w:val="22"/>
              <w:szCs w:val="24"/>
            </w:rPr>
            <w:fldChar w:fldCharType="separate"/>
          </w:r>
          <w:r>
            <w:rPr>
              <w:b/>
              <w:bCs/>
              <w:sz w:val="22"/>
              <w:szCs w:val="24"/>
            </w:rPr>
            <w:t>18</w:t>
          </w:r>
          <w:r>
            <w:rPr>
              <w:b/>
              <w:bCs/>
              <w:sz w:val="22"/>
              <w:szCs w:val="24"/>
            </w:rPr>
            <w:fldChar w:fldCharType="end"/>
          </w:r>
          <w:r>
            <w:rPr>
              <w:b/>
              <w:bCs/>
              <w:sz w:val="22"/>
              <w:szCs w:val="28"/>
            </w:rPr>
            <w:fldChar w:fldCharType="end"/>
          </w:r>
        </w:p>
        <w:p w14:paraId="3DA22879">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_Toc13406 </w:instrText>
          </w:r>
          <w:r>
            <w:rPr>
              <w:b/>
              <w:bCs/>
              <w:sz w:val="22"/>
              <w:szCs w:val="28"/>
            </w:rPr>
            <w:fldChar w:fldCharType="separate"/>
          </w:r>
          <w:r>
            <w:rPr>
              <w:rFonts w:hint="eastAsia" w:ascii="宋体" w:hAnsi="宋体" w:eastAsia="宋体" w:cs="宋体"/>
              <w:b/>
              <w:bCs/>
              <w:kern w:val="2"/>
              <w:sz w:val="22"/>
              <w:szCs w:val="22"/>
              <w:lang w:val="zh-CN" w:eastAsia="zh-CN" w:bidi="ar-SA"/>
            </w:rPr>
            <w:t>一、</w:t>
          </w:r>
          <w:r>
            <w:rPr>
              <w:rFonts w:hint="eastAsia" w:ascii="宋体" w:hAnsi="宋体" w:eastAsia="宋体" w:cs="宋体"/>
              <w:b/>
              <w:bCs/>
              <w:kern w:val="2"/>
              <w:sz w:val="22"/>
              <w:szCs w:val="22"/>
              <w:lang w:val="en-US" w:eastAsia="zh-CN" w:bidi="ar-SA"/>
            </w:rPr>
            <w:t>项目</w:t>
          </w:r>
          <w:r>
            <w:rPr>
              <w:rFonts w:hint="eastAsia" w:ascii="宋体" w:hAnsi="宋体" w:eastAsia="宋体" w:cs="宋体"/>
              <w:b/>
              <w:bCs/>
              <w:kern w:val="2"/>
              <w:sz w:val="22"/>
              <w:szCs w:val="22"/>
              <w:lang w:val="zh-CN" w:eastAsia="zh-CN" w:bidi="ar-SA"/>
            </w:rPr>
            <w:t>概况</w:t>
          </w:r>
          <w:r>
            <w:rPr>
              <w:b/>
              <w:bCs/>
              <w:sz w:val="22"/>
              <w:szCs w:val="24"/>
            </w:rPr>
            <w:tab/>
          </w:r>
          <w:r>
            <w:rPr>
              <w:b/>
              <w:bCs/>
              <w:sz w:val="22"/>
              <w:szCs w:val="24"/>
            </w:rPr>
            <w:fldChar w:fldCharType="begin"/>
          </w:r>
          <w:r>
            <w:rPr>
              <w:b/>
              <w:bCs/>
              <w:sz w:val="22"/>
              <w:szCs w:val="24"/>
            </w:rPr>
            <w:instrText xml:space="preserve"> PAGEREF _Toc13406 \h </w:instrText>
          </w:r>
          <w:r>
            <w:rPr>
              <w:b/>
              <w:bCs/>
              <w:sz w:val="22"/>
              <w:szCs w:val="24"/>
            </w:rPr>
            <w:fldChar w:fldCharType="separate"/>
          </w:r>
          <w:r>
            <w:rPr>
              <w:b/>
              <w:bCs/>
              <w:sz w:val="22"/>
              <w:szCs w:val="24"/>
            </w:rPr>
            <w:t>18</w:t>
          </w:r>
          <w:r>
            <w:rPr>
              <w:b/>
              <w:bCs/>
              <w:sz w:val="22"/>
              <w:szCs w:val="24"/>
            </w:rPr>
            <w:fldChar w:fldCharType="end"/>
          </w:r>
          <w:r>
            <w:rPr>
              <w:b/>
              <w:bCs/>
              <w:sz w:val="22"/>
              <w:szCs w:val="28"/>
            </w:rPr>
            <w:fldChar w:fldCharType="end"/>
          </w:r>
        </w:p>
        <w:p w14:paraId="3E10A7F8">
          <w:pPr>
            <w:pStyle w:val="18"/>
            <w:tabs>
              <w:tab w:val="right" w:leader="dot" w:pos="8306"/>
            </w:tabs>
            <w:rPr>
              <w:b/>
              <w:bCs/>
              <w:sz w:val="22"/>
              <w:szCs w:val="24"/>
            </w:rPr>
          </w:pPr>
          <w:r>
            <w:rPr>
              <w:b/>
              <w:bCs/>
              <w:sz w:val="22"/>
              <w:szCs w:val="28"/>
            </w:rPr>
            <w:fldChar w:fldCharType="begin"/>
          </w:r>
          <w:r>
            <w:rPr>
              <w:b/>
              <w:bCs/>
              <w:sz w:val="22"/>
              <w:szCs w:val="28"/>
            </w:rPr>
            <w:instrText xml:space="preserve"> HYPERLINK \l _Toc297 </w:instrText>
          </w:r>
          <w:r>
            <w:rPr>
              <w:b/>
              <w:bCs/>
              <w:sz w:val="22"/>
              <w:szCs w:val="28"/>
            </w:rPr>
            <w:fldChar w:fldCharType="separate"/>
          </w:r>
          <w:r>
            <w:rPr>
              <w:rFonts w:hint="eastAsia"/>
              <w:b/>
              <w:bCs/>
              <w:sz w:val="22"/>
              <w:szCs w:val="24"/>
              <w:lang w:val="en-US" w:eastAsia="zh-CN"/>
            </w:rPr>
            <w:t>第四章 评审办法及标准</w:t>
          </w:r>
          <w:r>
            <w:rPr>
              <w:b/>
              <w:bCs/>
              <w:sz w:val="22"/>
              <w:szCs w:val="24"/>
            </w:rPr>
            <w:tab/>
          </w:r>
          <w:r>
            <w:rPr>
              <w:b/>
              <w:bCs/>
              <w:sz w:val="22"/>
              <w:szCs w:val="24"/>
            </w:rPr>
            <w:fldChar w:fldCharType="begin"/>
          </w:r>
          <w:r>
            <w:rPr>
              <w:b/>
              <w:bCs/>
              <w:sz w:val="22"/>
              <w:szCs w:val="24"/>
            </w:rPr>
            <w:instrText xml:space="preserve"> PAGEREF _Toc297 \h </w:instrText>
          </w:r>
          <w:r>
            <w:rPr>
              <w:b/>
              <w:bCs/>
              <w:sz w:val="22"/>
              <w:szCs w:val="24"/>
            </w:rPr>
            <w:fldChar w:fldCharType="separate"/>
          </w:r>
          <w:r>
            <w:rPr>
              <w:b/>
              <w:bCs/>
              <w:sz w:val="22"/>
              <w:szCs w:val="24"/>
            </w:rPr>
            <w:t>22</w:t>
          </w:r>
          <w:r>
            <w:rPr>
              <w:b/>
              <w:bCs/>
              <w:sz w:val="22"/>
              <w:szCs w:val="24"/>
            </w:rPr>
            <w:fldChar w:fldCharType="end"/>
          </w:r>
          <w:r>
            <w:rPr>
              <w:b/>
              <w:bCs/>
              <w:sz w:val="22"/>
              <w:szCs w:val="28"/>
            </w:rPr>
            <w:fldChar w:fldCharType="end"/>
          </w:r>
        </w:p>
        <w:p w14:paraId="799DFD5F">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_Toc18679 </w:instrText>
          </w:r>
          <w:r>
            <w:rPr>
              <w:b/>
              <w:bCs/>
              <w:sz w:val="22"/>
              <w:szCs w:val="28"/>
            </w:rPr>
            <w:fldChar w:fldCharType="separate"/>
          </w:r>
          <w:r>
            <w:rPr>
              <w:rFonts w:hint="eastAsia" w:ascii="等线 Light" w:hAnsi="等线 Light" w:eastAsia="宋体" w:cs="Times New Roman"/>
              <w:b/>
              <w:bCs/>
              <w:kern w:val="2"/>
              <w:sz w:val="22"/>
              <w:szCs w:val="32"/>
              <w:lang w:val="en-US" w:eastAsia="zh-CN" w:bidi="ar-SA"/>
            </w:rPr>
            <w:t>一、 评审方法</w:t>
          </w:r>
          <w:r>
            <w:rPr>
              <w:b/>
              <w:bCs/>
              <w:sz w:val="22"/>
              <w:szCs w:val="24"/>
            </w:rPr>
            <w:tab/>
          </w:r>
          <w:r>
            <w:rPr>
              <w:b/>
              <w:bCs/>
              <w:sz w:val="22"/>
              <w:szCs w:val="24"/>
            </w:rPr>
            <w:fldChar w:fldCharType="begin"/>
          </w:r>
          <w:r>
            <w:rPr>
              <w:b/>
              <w:bCs/>
              <w:sz w:val="22"/>
              <w:szCs w:val="24"/>
            </w:rPr>
            <w:instrText xml:space="preserve"> PAGEREF _Toc18679 \h </w:instrText>
          </w:r>
          <w:r>
            <w:rPr>
              <w:b/>
              <w:bCs/>
              <w:sz w:val="22"/>
              <w:szCs w:val="24"/>
            </w:rPr>
            <w:fldChar w:fldCharType="separate"/>
          </w:r>
          <w:r>
            <w:rPr>
              <w:b/>
              <w:bCs/>
              <w:sz w:val="22"/>
              <w:szCs w:val="24"/>
            </w:rPr>
            <w:t>22</w:t>
          </w:r>
          <w:r>
            <w:rPr>
              <w:b/>
              <w:bCs/>
              <w:sz w:val="22"/>
              <w:szCs w:val="24"/>
            </w:rPr>
            <w:fldChar w:fldCharType="end"/>
          </w:r>
          <w:r>
            <w:rPr>
              <w:b/>
              <w:bCs/>
              <w:sz w:val="22"/>
              <w:szCs w:val="28"/>
            </w:rPr>
            <w:fldChar w:fldCharType="end"/>
          </w:r>
        </w:p>
        <w:p w14:paraId="1DE1D44E">
          <w:pPr>
            <w:pStyle w:val="19"/>
            <w:tabs>
              <w:tab w:val="right" w:leader="dot" w:pos="8306"/>
            </w:tabs>
            <w:rPr>
              <w:b/>
              <w:bCs/>
              <w:sz w:val="22"/>
              <w:szCs w:val="24"/>
            </w:rPr>
          </w:pPr>
          <w:r>
            <w:rPr>
              <w:b/>
              <w:bCs/>
              <w:sz w:val="22"/>
              <w:szCs w:val="28"/>
            </w:rPr>
            <w:fldChar w:fldCharType="begin"/>
          </w:r>
          <w:r>
            <w:rPr>
              <w:b/>
              <w:bCs/>
              <w:sz w:val="22"/>
              <w:szCs w:val="28"/>
            </w:rPr>
            <w:instrText xml:space="preserve"> HYPERLINK \l _Toc13850 </w:instrText>
          </w:r>
          <w:r>
            <w:rPr>
              <w:b/>
              <w:bCs/>
              <w:sz w:val="22"/>
              <w:szCs w:val="28"/>
            </w:rPr>
            <w:fldChar w:fldCharType="separate"/>
          </w:r>
          <w:r>
            <w:rPr>
              <w:rFonts w:hint="eastAsia" w:ascii="等线 Light" w:hAnsi="等线 Light" w:eastAsia="宋体" w:cs="Times New Roman"/>
              <w:b/>
              <w:bCs/>
              <w:kern w:val="2"/>
              <w:sz w:val="22"/>
              <w:szCs w:val="32"/>
              <w:lang w:val="en-US" w:eastAsia="zh-CN" w:bidi="ar-SA"/>
            </w:rPr>
            <w:t>二、 评审程序</w:t>
          </w:r>
          <w:r>
            <w:rPr>
              <w:b/>
              <w:bCs/>
              <w:sz w:val="22"/>
              <w:szCs w:val="24"/>
            </w:rPr>
            <w:tab/>
          </w:r>
          <w:r>
            <w:rPr>
              <w:b/>
              <w:bCs/>
              <w:sz w:val="22"/>
              <w:szCs w:val="24"/>
            </w:rPr>
            <w:fldChar w:fldCharType="begin"/>
          </w:r>
          <w:r>
            <w:rPr>
              <w:b/>
              <w:bCs/>
              <w:sz w:val="22"/>
              <w:szCs w:val="24"/>
            </w:rPr>
            <w:instrText xml:space="preserve"> PAGEREF _Toc13850 \h </w:instrText>
          </w:r>
          <w:r>
            <w:rPr>
              <w:b/>
              <w:bCs/>
              <w:sz w:val="22"/>
              <w:szCs w:val="24"/>
            </w:rPr>
            <w:fldChar w:fldCharType="separate"/>
          </w:r>
          <w:r>
            <w:rPr>
              <w:b/>
              <w:bCs/>
              <w:sz w:val="22"/>
              <w:szCs w:val="24"/>
            </w:rPr>
            <w:t>22</w:t>
          </w:r>
          <w:r>
            <w:rPr>
              <w:b/>
              <w:bCs/>
              <w:sz w:val="22"/>
              <w:szCs w:val="24"/>
            </w:rPr>
            <w:fldChar w:fldCharType="end"/>
          </w:r>
          <w:r>
            <w:rPr>
              <w:b/>
              <w:bCs/>
              <w:sz w:val="22"/>
              <w:szCs w:val="28"/>
            </w:rPr>
            <w:fldChar w:fldCharType="end"/>
          </w:r>
        </w:p>
        <w:p w14:paraId="1BEA6AB2">
          <w:pPr>
            <w:pStyle w:val="19"/>
            <w:tabs>
              <w:tab w:val="right" w:leader="dot" w:pos="8306"/>
            </w:tabs>
            <w:rPr>
              <w:b/>
              <w:bCs/>
              <w:sz w:val="22"/>
              <w:szCs w:val="24"/>
            </w:rPr>
          </w:pPr>
          <w:r>
            <w:rPr>
              <w:b/>
              <w:bCs/>
              <w:sz w:val="22"/>
              <w:szCs w:val="28"/>
            </w:rPr>
            <w:fldChar w:fldCharType="begin"/>
          </w:r>
          <w:r>
            <w:rPr>
              <w:b/>
              <w:bCs/>
              <w:sz w:val="22"/>
              <w:szCs w:val="28"/>
            </w:rPr>
            <w:instrText xml:space="preserve"> HYPERLINK \l _Toc8646 </w:instrText>
          </w:r>
          <w:r>
            <w:rPr>
              <w:b/>
              <w:bCs/>
              <w:sz w:val="22"/>
              <w:szCs w:val="28"/>
            </w:rPr>
            <w:fldChar w:fldCharType="separate"/>
          </w:r>
          <w:r>
            <w:rPr>
              <w:rFonts w:hint="eastAsia" w:ascii="等线 Light" w:hAnsi="等线 Light" w:eastAsia="宋体" w:cs="Times New Roman"/>
              <w:b/>
              <w:bCs/>
              <w:kern w:val="2"/>
              <w:sz w:val="22"/>
              <w:szCs w:val="32"/>
              <w:lang w:val="en-US" w:eastAsia="zh-CN" w:bidi="ar-SA"/>
            </w:rPr>
            <w:t>三、 评审标准</w:t>
          </w:r>
          <w:r>
            <w:rPr>
              <w:b/>
              <w:bCs/>
              <w:sz w:val="22"/>
              <w:szCs w:val="24"/>
            </w:rPr>
            <w:tab/>
          </w:r>
          <w:r>
            <w:rPr>
              <w:b/>
              <w:bCs/>
              <w:sz w:val="22"/>
              <w:szCs w:val="24"/>
            </w:rPr>
            <w:fldChar w:fldCharType="begin"/>
          </w:r>
          <w:r>
            <w:rPr>
              <w:b/>
              <w:bCs/>
              <w:sz w:val="22"/>
              <w:szCs w:val="24"/>
            </w:rPr>
            <w:instrText xml:space="preserve"> PAGEREF _Toc8646 \h </w:instrText>
          </w:r>
          <w:r>
            <w:rPr>
              <w:b/>
              <w:bCs/>
              <w:sz w:val="22"/>
              <w:szCs w:val="24"/>
            </w:rPr>
            <w:fldChar w:fldCharType="separate"/>
          </w:r>
          <w:r>
            <w:rPr>
              <w:b/>
              <w:bCs/>
              <w:sz w:val="22"/>
              <w:szCs w:val="24"/>
            </w:rPr>
            <w:t>26</w:t>
          </w:r>
          <w:r>
            <w:rPr>
              <w:b/>
              <w:bCs/>
              <w:sz w:val="22"/>
              <w:szCs w:val="24"/>
            </w:rPr>
            <w:fldChar w:fldCharType="end"/>
          </w:r>
          <w:r>
            <w:rPr>
              <w:b/>
              <w:bCs/>
              <w:sz w:val="22"/>
              <w:szCs w:val="28"/>
            </w:rPr>
            <w:fldChar w:fldCharType="end"/>
          </w:r>
        </w:p>
        <w:p w14:paraId="6BDA975C">
          <w:pPr>
            <w:pStyle w:val="18"/>
            <w:tabs>
              <w:tab w:val="right" w:leader="dot" w:pos="8306"/>
            </w:tabs>
            <w:rPr>
              <w:b/>
              <w:bCs/>
              <w:sz w:val="22"/>
              <w:szCs w:val="24"/>
            </w:rPr>
          </w:pPr>
          <w:r>
            <w:rPr>
              <w:b/>
              <w:bCs/>
              <w:sz w:val="22"/>
              <w:szCs w:val="28"/>
            </w:rPr>
            <w:fldChar w:fldCharType="begin"/>
          </w:r>
          <w:r>
            <w:rPr>
              <w:b/>
              <w:bCs/>
              <w:sz w:val="22"/>
              <w:szCs w:val="28"/>
            </w:rPr>
            <w:instrText xml:space="preserve"> HYPERLINK \l _Toc20459 </w:instrText>
          </w:r>
          <w:r>
            <w:rPr>
              <w:b/>
              <w:bCs/>
              <w:sz w:val="22"/>
              <w:szCs w:val="28"/>
            </w:rPr>
            <w:fldChar w:fldCharType="separate"/>
          </w:r>
          <w:r>
            <w:rPr>
              <w:rFonts w:hint="eastAsia" w:ascii="黑体" w:hAnsi="黑体" w:eastAsia="黑体" w:cs="黑体"/>
              <w:b/>
              <w:bCs/>
              <w:sz w:val="22"/>
              <w:szCs w:val="36"/>
            </w:rPr>
            <w:t>第五章 合同</w:t>
          </w:r>
          <w:r>
            <w:rPr>
              <w:rFonts w:hint="eastAsia" w:ascii="黑体" w:hAnsi="黑体" w:eastAsia="黑体" w:cs="黑体"/>
              <w:b/>
              <w:bCs/>
              <w:sz w:val="22"/>
              <w:szCs w:val="36"/>
              <w:lang w:eastAsia="zh-CN"/>
            </w:rPr>
            <w:t>草案（仅供参考，具体以双方约定为准）</w:t>
          </w:r>
          <w:r>
            <w:rPr>
              <w:b/>
              <w:bCs/>
              <w:sz w:val="22"/>
              <w:szCs w:val="24"/>
            </w:rPr>
            <w:tab/>
          </w:r>
          <w:r>
            <w:rPr>
              <w:b/>
              <w:bCs/>
              <w:sz w:val="22"/>
              <w:szCs w:val="24"/>
            </w:rPr>
            <w:fldChar w:fldCharType="begin"/>
          </w:r>
          <w:r>
            <w:rPr>
              <w:b/>
              <w:bCs/>
              <w:sz w:val="22"/>
              <w:szCs w:val="24"/>
            </w:rPr>
            <w:instrText xml:space="preserve"> PAGEREF _Toc20459 \h </w:instrText>
          </w:r>
          <w:r>
            <w:rPr>
              <w:b/>
              <w:bCs/>
              <w:sz w:val="22"/>
              <w:szCs w:val="24"/>
            </w:rPr>
            <w:fldChar w:fldCharType="separate"/>
          </w:r>
          <w:r>
            <w:rPr>
              <w:b/>
              <w:bCs/>
              <w:sz w:val="22"/>
              <w:szCs w:val="24"/>
            </w:rPr>
            <w:t>31</w:t>
          </w:r>
          <w:r>
            <w:rPr>
              <w:b/>
              <w:bCs/>
              <w:sz w:val="22"/>
              <w:szCs w:val="24"/>
            </w:rPr>
            <w:fldChar w:fldCharType="end"/>
          </w:r>
          <w:r>
            <w:rPr>
              <w:b/>
              <w:bCs/>
              <w:sz w:val="22"/>
              <w:szCs w:val="28"/>
            </w:rPr>
            <w:fldChar w:fldCharType="end"/>
          </w:r>
        </w:p>
        <w:p w14:paraId="7B5C831A">
          <w:pPr>
            <w:pStyle w:val="18"/>
            <w:tabs>
              <w:tab w:val="right" w:leader="dot" w:pos="8306"/>
            </w:tabs>
            <w:rPr>
              <w:b/>
              <w:bCs/>
              <w:sz w:val="22"/>
              <w:szCs w:val="24"/>
            </w:rPr>
          </w:pPr>
          <w:r>
            <w:rPr>
              <w:b/>
              <w:bCs/>
              <w:sz w:val="22"/>
              <w:szCs w:val="28"/>
            </w:rPr>
            <w:fldChar w:fldCharType="begin"/>
          </w:r>
          <w:r>
            <w:rPr>
              <w:b/>
              <w:bCs/>
              <w:sz w:val="22"/>
              <w:szCs w:val="28"/>
            </w:rPr>
            <w:instrText xml:space="preserve"> HYPERLINK \l _Toc32373 </w:instrText>
          </w:r>
          <w:r>
            <w:rPr>
              <w:b/>
              <w:bCs/>
              <w:sz w:val="22"/>
              <w:szCs w:val="28"/>
            </w:rPr>
            <w:fldChar w:fldCharType="separate"/>
          </w:r>
          <w:r>
            <w:rPr>
              <w:rFonts w:hint="eastAsia" w:ascii="黑体" w:hAnsi="黑体" w:eastAsia="黑体" w:cs="黑体"/>
              <w:b/>
              <w:bCs/>
              <w:sz w:val="22"/>
              <w:szCs w:val="36"/>
            </w:rPr>
            <w:t>第六章  投标文件格式</w:t>
          </w:r>
          <w:r>
            <w:rPr>
              <w:b/>
              <w:bCs/>
              <w:sz w:val="22"/>
              <w:szCs w:val="24"/>
            </w:rPr>
            <w:tab/>
          </w:r>
          <w:r>
            <w:rPr>
              <w:b/>
              <w:bCs/>
              <w:sz w:val="22"/>
              <w:szCs w:val="24"/>
            </w:rPr>
            <w:fldChar w:fldCharType="begin"/>
          </w:r>
          <w:r>
            <w:rPr>
              <w:b/>
              <w:bCs/>
              <w:sz w:val="22"/>
              <w:szCs w:val="24"/>
            </w:rPr>
            <w:instrText xml:space="preserve"> PAGEREF _Toc32373 \h </w:instrText>
          </w:r>
          <w:r>
            <w:rPr>
              <w:b/>
              <w:bCs/>
              <w:sz w:val="22"/>
              <w:szCs w:val="24"/>
            </w:rPr>
            <w:fldChar w:fldCharType="separate"/>
          </w:r>
          <w:r>
            <w:rPr>
              <w:b/>
              <w:bCs/>
              <w:sz w:val="22"/>
              <w:szCs w:val="24"/>
            </w:rPr>
            <w:t>37</w:t>
          </w:r>
          <w:r>
            <w:rPr>
              <w:b/>
              <w:bCs/>
              <w:sz w:val="22"/>
              <w:szCs w:val="24"/>
            </w:rPr>
            <w:fldChar w:fldCharType="end"/>
          </w:r>
          <w:r>
            <w:rPr>
              <w:b/>
              <w:bCs/>
              <w:sz w:val="22"/>
              <w:szCs w:val="28"/>
            </w:rPr>
            <w:fldChar w:fldCharType="end"/>
          </w:r>
        </w:p>
        <w:p w14:paraId="73C3D76C">
          <w:pPr>
            <w:pStyle w:val="19"/>
            <w:tabs>
              <w:tab w:val="right" w:leader="dot" w:pos="8306"/>
            </w:tabs>
            <w:rPr>
              <w:b/>
              <w:bCs/>
              <w:sz w:val="22"/>
              <w:szCs w:val="24"/>
            </w:rPr>
          </w:pPr>
        </w:p>
        <w:p w14:paraId="5FF65F9D">
          <w:pPr>
            <w:pStyle w:val="18"/>
            <w:tabs>
              <w:tab w:val="right" w:leader="dot" w:pos="8306"/>
            </w:tabs>
          </w:pPr>
        </w:p>
        <w:p w14:paraId="03B340F5">
          <w:pPr>
            <w:keepNext w:val="0"/>
            <w:keepLines w:val="0"/>
            <w:pageBreakBefore w:val="0"/>
            <w:widowControl/>
            <w:kinsoku/>
            <w:wordWrap/>
            <w:overflowPunct/>
            <w:topLinePunct w:val="0"/>
            <w:autoSpaceDE/>
            <w:autoSpaceDN/>
            <w:bidi w:val="0"/>
            <w:adjustRightInd/>
            <w:snapToGrid/>
            <w:spacing w:line="600" w:lineRule="exact"/>
            <w:textAlignment w:val="auto"/>
            <w:rPr>
              <w:sz w:val="24"/>
              <w:szCs w:val="24"/>
            </w:rPr>
          </w:pPr>
          <w:r>
            <w:rPr>
              <w:szCs w:val="24"/>
            </w:rPr>
            <w:fldChar w:fldCharType="end"/>
          </w:r>
        </w:p>
      </w:sdtContent>
    </w:sdt>
    <w:p w14:paraId="3DD8A545">
      <w:pPr>
        <w:jc w:val="center"/>
        <w:outlineLvl w:val="0"/>
        <w:rPr>
          <w:rFonts w:hint="eastAsia" w:eastAsia="黑体" w:asciiTheme="minorHAnsi" w:hAnsiTheme="minorHAnsi" w:cstheme="minorBidi"/>
          <w:b/>
          <w:bCs/>
          <w:kern w:val="44"/>
          <w:sz w:val="32"/>
          <w:szCs w:val="32"/>
          <w:lang w:val="en-US" w:eastAsia="zh-CN" w:bidi="ar-SA"/>
        </w:rPr>
      </w:pPr>
    </w:p>
    <w:p w14:paraId="2F8BDAD6">
      <w:pPr>
        <w:jc w:val="center"/>
        <w:outlineLvl w:val="0"/>
        <w:rPr>
          <w:rFonts w:hint="eastAsia" w:eastAsia="黑体" w:asciiTheme="minorHAnsi" w:hAnsiTheme="minorHAnsi" w:cstheme="minorBidi"/>
          <w:b/>
          <w:bCs/>
          <w:kern w:val="44"/>
          <w:sz w:val="32"/>
          <w:szCs w:val="32"/>
          <w:lang w:val="en-US" w:eastAsia="zh-CN" w:bidi="ar-SA"/>
        </w:rPr>
      </w:pPr>
    </w:p>
    <w:p w14:paraId="1E57EFB9">
      <w:pPr>
        <w:jc w:val="center"/>
        <w:outlineLvl w:val="0"/>
        <w:rPr>
          <w:rFonts w:hint="eastAsia" w:eastAsia="黑体" w:asciiTheme="minorHAnsi" w:hAnsiTheme="minorHAnsi" w:cstheme="minorBidi"/>
          <w:b/>
          <w:bCs/>
          <w:kern w:val="44"/>
          <w:sz w:val="32"/>
          <w:szCs w:val="32"/>
          <w:lang w:val="en-US" w:eastAsia="zh-CN" w:bidi="ar-SA"/>
        </w:rPr>
      </w:pPr>
    </w:p>
    <w:p w14:paraId="3388FDAA">
      <w:pPr>
        <w:jc w:val="center"/>
        <w:outlineLvl w:val="0"/>
        <w:rPr>
          <w:rFonts w:hint="eastAsia" w:eastAsia="黑体" w:asciiTheme="minorHAnsi" w:hAnsiTheme="minorHAnsi" w:cstheme="minorBidi"/>
          <w:b/>
          <w:bCs/>
          <w:kern w:val="44"/>
          <w:sz w:val="32"/>
          <w:szCs w:val="32"/>
          <w:lang w:val="en-US" w:eastAsia="zh-CN" w:bidi="ar-SA"/>
        </w:rPr>
      </w:pPr>
    </w:p>
    <w:p w14:paraId="511E0718">
      <w:pPr>
        <w:jc w:val="center"/>
        <w:outlineLvl w:val="0"/>
        <w:rPr>
          <w:rFonts w:hint="eastAsia" w:eastAsia="黑体" w:asciiTheme="minorHAnsi" w:hAnsiTheme="minorHAnsi" w:cstheme="minorBidi"/>
          <w:b/>
          <w:bCs/>
          <w:kern w:val="44"/>
          <w:sz w:val="32"/>
          <w:szCs w:val="32"/>
          <w:lang w:val="en-US" w:eastAsia="zh-CN" w:bidi="ar-SA"/>
        </w:rPr>
        <w:sectPr>
          <w:footerReference r:id="rId4" w:type="default"/>
          <w:pgSz w:w="11906" w:h="16838"/>
          <w:pgMar w:top="1440" w:right="1800" w:bottom="1440" w:left="1800" w:header="851" w:footer="992" w:gutter="0"/>
          <w:pgNumType w:fmt="numberInDash" w:start="1"/>
          <w:cols w:space="425" w:num="1"/>
          <w:docGrid w:type="lines" w:linePitch="312" w:charSpace="0"/>
        </w:sectPr>
      </w:pPr>
    </w:p>
    <w:p w14:paraId="21ED4A77">
      <w:pPr>
        <w:jc w:val="center"/>
        <w:outlineLvl w:val="0"/>
        <w:rPr>
          <w:rFonts w:hint="eastAsia" w:eastAsia="黑体" w:asciiTheme="minorHAnsi" w:hAnsiTheme="minorHAnsi" w:cstheme="minorBidi"/>
          <w:b/>
          <w:bCs/>
          <w:kern w:val="44"/>
          <w:sz w:val="32"/>
          <w:szCs w:val="32"/>
          <w:lang w:val="en-US" w:eastAsia="zh-CN" w:bidi="ar-SA"/>
        </w:rPr>
      </w:pPr>
      <w:bookmarkStart w:id="12" w:name="_Toc30054"/>
      <w:r>
        <w:rPr>
          <w:rFonts w:hint="eastAsia" w:eastAsia="黑体" w:asciiTheme="minorHAnsi" w:hAnsiTheme="minorHAnsi" w:cstheme="minorBidi"/>
          <w:b/>
          <w:bCs/>
          <w:kern w:val="44"/>
          <w:sz w:val="32"/>
          <w:szCs w:val="32"/>
          <w:lang w:val="en-US" w:eastAsia="zh-CN" w:bidi="ar-SA"/>
        </w:rPr>
        <w:t>第一章  竞争性磋商公告</w:t>
      </w:r>
      <w:bookmarkEnd w:id="12"/>
    </w:p>
    <w:p w14:paraId="68148AA8">
      <w:pPr>
        <w:pStyle w:val="20"/>
        <w:keepNext w:val="0"/>
        <w:keepLines w:val="0"/>
        <w:pageBreakBefore w:val="0"/>
        <w:widowControl/>
        <w:suppressLineNumbers w:val="0"/>
        <w:pBdr>
          <w:top w:val="single" w:color="777777" w:sz="4" w:space="6"/>
          <w:left w:val="single" w:color="777777" w:sz="4" w:space="6"/>
          <w:bottom w:val="none" w:color="auto" w:sz="0" w:space="0"/>
          <w:right w:val="single" w:color="777777" w:sz="4" w:space="6"/>
        </w:pBdr>
        <w:shd w:val="clear" w:color="auto" w:fill="FFFFFF"/>
        <w:kinsoku/>
        <w:wordWrap/>
        <w:overflowPunct/>
        <w:topLinePunct w:val="0"/>
        <w:autoSpaceDE/>
        <w:autoSpaceDN/>
        <w:bidi w:val="0"/>
        <w:adjustRightInd w:val="0"/>
        <w:snapToGrid w:val="0"/>
        <w:spacing w:before="0" w:beforeAutospacing="0" w:after="0" w:afterAutospacing="0" w:line="360" w:lineRule="auto"/>
        <w:ind w:left="240" w:right="240" w:firstLine="0"/>
        <w:jc w:val="left"/>
        <w:textAlignment w:val="auto"/>
        <w:rPr>
          <w:rFonts w:hint="eastAsia" w:ascii="宋体" w:hAnsi="宋体" w:eastAsia="宋体" w:cs="宋体"/>
          <w:spacing w:val="0"/>
          <w:kern w:val="2"/>
          <w:position w:val="0"/>
          <w:sz w:val="24"/>
          <w:szCs w:val="24"/>
          <w:highlight w:val="none"/>
          <w:lang w:val="en-US" w:eastAsia="zh-CN" w:bidi="ar-SA"/>
        </w:rPr>
      </w:pPr>
      <w:bookmarkStart w:id="13" w:name="_Toc528097088"/>
      <w:r>
        <w:rPr>
          <w:rFonts w:hint="eastAsia" w:ascii="宋体" w:hAnsi="宋体" w:eastAsia="宋体" w:cs="宋体"/>
          <w:spacing w:val="0"/>
          <w:kern w:val="2"/>
          <w:position w:val="0"/>
          <w:sz w:val="24"/>
          <w:szCs w:val="24"/>
          <w:highlight w:val="none"/>
          <w:lang w:val="en-US" w:eastAsia="zh-CN" w:bidi="ar-SA"/>
        </w:rPr>
        <w:t>【项目概况】</w:t>
      </w:r>
    </w:p>
    <w:p w14:paraId="190A4892">
      <w:pPr>
        <w:pStyle w:val="20"/>
        <w:keepNext w:val="0"/>
        <w:keepLines w:val="0"/>
        <w:pageBreakBefore w:val="0"/>
        <w:widowControl/>
        <w:suppressLineNumbers w:val="0"/>
        <w:pBdr>
          <w:top w:val="none" w:color="auto" w:sz="0" w:space="0"/>
          <w:left w:val="single" w:color="777777" w:sz="4" w:space="10"/>
          <w:bottom w:val="single" w:color="777777" w:sz="4" w:space="10"/>
          <w:right w:val="single" w:color="777777" w:sz="4" w:space="10"/>
        </w:pBdr>
        <w:shd w:val="clear" w:color="auto" w:fill="FFFFFF"/>
        <w:kinsoku/>
        <w:wordWrap/>
        <w:overflowPunct/>
        <w:topLinePunct w:val="0"/>
        <w:autoSpaceDE/>
        <w:autoSpaceDN/>
        <w:bidi w:val="0"/>
        <w:adjustRightInd w:val="0"/>
        <w:snapToGrid w:val="0"/>
        <w:spacing w:before="0" w:beforeAutospacing="0" w:after="0" w:afterAutospacing="0" w:line="360" w:lineRule="auto"/>
        <w:ind w:left="240" w:right="240" w:firstLine="0"/>
        <w:jc w:val="both"/>
        <w:textAlignment w:val="auto"/>
        <w:rPr>
          <w:rFonts w:hint="eastAsia" w:ascii="宋体" w:hAnsi="宋体" w:eastAsia="宋体" w:cs="宋体"/>
          <w:spacing w:val="0"/>
          <w:kern w:val="2"/>
          <w:position w:val="0"/>
          <w:sz w:val="24"/>
          <w:szCs w:val="24"/>
          <w:highlight w:val="none"/>
          <w:lang w:val="en-US" w:eastAsia="zh-CN" w:bidi="ar-SA"/>
        </w:rPr>
      </w:pPr>
      <w:r>
        <w:rPr>
          <w:rFonts w:hint="eastAsia" w:ascii="宋体" w:hAnsi="宋体" w:eastAsia="宋体" w:cs="宋体"/>
          <w:spacing w:val="0"/>
          <w:kern w:val="2"/>
          <w:position w:val="0"/>
          <w:sz w:val="24"/>
          <w:szCs w:val="24"/>
          <w:highlight w:val="none"/>
          <w:lang w:val="en-US" w:eastAsia="zh-CN" w:bidi="ar-SA"/>
        </w:rPr>
        <w:t>竹山县2025年9月至2026年9月工业项目及社会资本投资的房屋建筑工程施工图联合审查（含人防、消防审查及相关的</w:t>
      </w:r>
      <w:r>
        <w:rPr>
          <w:rFonts w:hint="eastAsia" w:cs="宋体"/>
          <w:spacing w:val="0"/>
          <w:kern w:val="2"/>
          <w:position w:val="0"/>
          <w:sz w:val="24"/>
          <w:szCs w:val="24"/>
          <w:highlight w:val="none"/>
          <w:lang w:val="en-US" w:eastAsia="zh-CN" w:bidi="ar-SA"/>
        </w:rPr>
        <w:t>技术</w:t>
      </w:r>
      <w:r>
        <w:rPr>
          <w:rFonts w:hint="eastAsia" w:ascii="宋体" w:hAnsi="宋体" w:eastAsia="宋体" w:cs="宋体"/>
          <w:spacing w:val="0"/>
          <w:kern w:val="2"/>
          <w:position w:val="0"/>
          <w:sz w:val="24"/>
          <w:szCs w:val="24"/>
          <w:highlight w:val="none"/>
          <w:lang w:val="en-US" w:eastAsia="zh-CN" w:bidi="ar-SA"/>
        </w:rPr>
        <w:t>服务）遴选第三方服务机构采购项目的潜在供应商应在竹山县城关镇明清大道214号获取采购文件，并于2025年</w:t>
      </w:r>
      <w:r>
        <w:rPr>
          <w:rFonts w:hint="eastAsia" w:cs="宋体"/>
          <w:spacing w:val="0"/>
          <w:kern w:val="2"/>
          <w:position w:val="0"/>
          <w:sz w:val="24"/>
          <w:szCs w:val="24"/>
          <w:highlight w:val="none"/>
          <w:lang w:val="en-US" w:eastAsia="zh-CN" w:bidi="ar-SA"/>
        </w:rPr>
        <w:t>09月18日</w:t>
      </w:r>
      <w:r>
        <w:rPr>
          <w:rFonts w:hint="eastAsia" w:ascii="宋体" w:hAnsi="宋体" w:eastAsia="宋体" w:cs="宋体"/>
          <w:spacing w:val="0"/>
          <w:kern w:val="2"/>
          <w:position w:val="0"/>
          <w:sz w:val="24"/>
          <w:szCs w:val="24"/>
          <w:highlight w:val="none"/>
          <w:lang w:val="en-US" w:eastAsia="zh-CN" w:bidi="ar-SA"/>
        </w:rPr>
        <w:t>15点00分（北京时间）前提交响应文件。</w:t>
      </w:r>
    </w:p>
    <w:p w14:paraId="3FF5AA2E">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b/>
          <w:bCs/>
          <w:spacing w:val="0"/>
          <w:position w:val="0"/>
          <w:sz w:val="24"/>
          <w:szCs w:val="24"/>
          <w:highlight w:val="none"/>
        </w:rPr>
      </w:pPr>
      <w:r>
        <w:rPr>
          <w:rFonts w:hint="eastAsia" w:ascii="宋体" w:hAnsi="宋体" w:eastAsia="宋体" w:cs="宋体"/>
          <w:b/>
          <w:bCs/>
          <w:spacing w:val="0"/>
          <w:position w:val="0"/>
          <w:sz w:val="24"/>
          <w:szCs w:val="24"/>
          <w:highlight w:val="none"/>
        </w:rPr>
        <w:t>一、项目基本情况</w:t>
      </w:r>
    </w:p>
    <w:p w14:paraId="483E06CB">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default"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rPr>
        <w:t>1</w:t>
      </w:r>
      <w:r>
        <w:rPr>
          <w:rFonts w:hint="eastAsia" w:ascii="宋体" w:hAnsi="宋体" w:eastAsia="宋体"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项目编号：</w:t>
      </w:r>
      <w:r>
        <w:rPr>
          <w:rFonts w:hint="eastAsia" w:ascii="宋体" w:hAnsi="宋体" w:eastAsia="宋体" w:cs="宋体"/>
          <w:spacing w:val="0"/>
          <w:position w:val="0"/>
          <w:sz w:val="24"/>
          <w:szCs w:val="24"/>
          <w:highlight w:val="none"/>
          <w:lang w:val="en-US" w:eastAsia="zh-CN"/>
        </w:rPr>
        <w:t>HBHRD-2025-0901</w:t>
      </w:r>
    </w:p>
    <w:p w14:paraId="407FDD75">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2</w:t>
      </w:r>
      <w:r>
        <w:rPr>
          <w:rFonts w:hint="eastAsia" w:ascii="宋体" w:hAnsi="宋体" w:eastAsia="宋体" w:cs="宋体"/>
          <w:spacing w:val="0"/>
          <w:position w:val="0"/>
          <w:sz w:val="24"/>
          <w:szCs w:val="24"/>
          <w:highlight w:val="none"/>
          <w:lang w:eastAsia="zh-CN"/>
        </w:rPr>
        <w:t>、</w:t>
      </w:r>
      <w:r>
        <w:rPr>
          <w:rFonts w:hint="eastAsia" w:ascii="宋体" w:hAnsi="宋体" w:eastAsia="宋体" w:cs="宋体"/>
          <w:spacing w:val="0"/>
          <w:position w:val="0"/>
          <w:sz w:val="24"/>
          <w:szCs w:val="24"/>
          <w:highlight w:val="none"/>
        </w:rPr>
        <w:t>项目名称：</w:t>
      </w:r>
      <w:r>
        <w:rPr>
          <w:rFonts w:hint="eastAsia" w:ascii="宋体" w:hAnsi="宋体" w:eastAsia="宋体" w:cs="宋体"/>
          <w:spacing w:val="0"/>
          <w:position w:val="0"/>
          <w:sz w:val="24"/>
          <w:szCs w:val="24"/>
          <w:highlight w:val="none"/>
          <w:lang w:eastAsia="zh-CN"/>
        </w:rPr>
        <w:t>竹山县2025年9月至2026年9月工业项目及社会资本投资的房屋建筑工程施工图联合审查（含人防、消防审查及相关的技术服务）遴选第三方服务机构</w:t>
      </w:r>
    </w:p>
    <w:p w14:paraId="022BB547">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3、采购方式：竞争性磋商</w:t>
      </w:r>
    </w:p>
    <w:p w14:paraId="6EBEB938">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4、预算金额：35(万元)</w:t>
      </w:r>
    </w:p>
    <w:p w14:paraId="7843232A">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5、最高限价：35(万元)</w:t>
      </w:r>
    </w:p>
    <w:p w14:paraId="4A029978">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6、采购需求：遴选第三方服务机构</w:t>
      </w:r>
    </w:p>
    <w:p w14:paraId="7F479C2F">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7、合同履行期限：1年</w:t>
      </w:r>
    </w:p>
    <w:p w14:paraId="47F82371">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8、本项目（是/否）接受联合体磋商：否</w:t>
      </w:r>
    </w:p>
    <w:p w14:paraId="177F07C2">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9、本项目（是/否）接受合同分包：否</w:t>
      </w:r>
    </w:p>
    <w:p w14:paraId="54C41C3F">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10、本项目（是/否）专门面向中小微企业：是</w:t>
      </w:r>
    </w:p>
    <w:p w14:paraId="03BE8E36">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11、面向中小微企业的类型为：中小微企业</w:t>
      </w:r>
    </w:p>
    <w:p w14:paraId="4300DD8F">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二、 申请人的资格要求：</w:t>
      </w:r>
    </w:p>
    <w:p w14:paraId="17605CF8">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满足《中华人民共和国政府采购法》第二十二条规定：</w:t>
      </w:r>
    </w:p>
    <w:p w14:paraId="765641DA">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(1) 具有独立承担民事责任的能力；</w:t>
      </w:r>
    </w:p>
    <w:p w14:paraId="3334FCFC">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 具有良好的商业信誉和健全的财务会计制度；</w:t>
      </w:r>
    </w:p>
    <w:p w14:paraId="5B7F8304">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 具有履行合同所必需的设备和专业技术能力；</w:t>
      </w:r>
    </w:p>
    <w:p w14:paraId="07407F33">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 有依法缴纳税收和社会保障资金的良好记录；</w:t>
      </w:r>
    </w:p>
    <w:p w14:paraId="55F43E67">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(5) 参加政府采购活动前三年内，在经营活动中没有重大违法记录；</w:t>
      </w:r>
    </w:p>
    <w:p w14:paraId="6BC5AC99">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 法律、行政法规规定的其他条件。</w:t>
      </w:r>
    </w:p>
    <w:p w14:paraId="699ACAD6">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单位负责人为同一人或者存在直接控股、管理关系的不同供应商，不得参加本项目同一合同项下的政府采购活动。</w:t>
      </w:r>
    </w:p>
    <w:p w14:paraId="3C5369ED">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3</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为本采购项目提供整体设计、规范编制或者项目管理、监理、检测等服务的，不得再参加本项目的其他招标采购活动。</w:t>
      </w:r>
    </w:p>
    <w:p w14:paraId="08D286E9">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4</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未被列入失信被执行人、</w:t>
      </w:r>
      <w:r>
        <w:rPr>
          <w:rFonts w:hint="eastAsia" w:ascii="宋体" w:hAnsi="宋体" w:eastAsia="宋体" w:cs="宋体"/>
          <w:color w:val="auto"/>
          <w:spacing w:val="0"/>
          <w:position w:val="0"/>
          <w:sz w:val="24"/>
          <w:szCs w:val="24"/>
          <w:highlight w:val="none"/>
        </w:rPr>
        <w:t>重大税收违法失信主体</w:t>
      </w:r>
      <w:r>
        <w:rPr>
          <w:rFonts w:hint="eastAsia" w:ascii="宋体" w:hAnsi="宋体" w:eastAsia="宋体" w:cs="宋体"/>
          <w:spacing w:val="0"/>
          <w:position w:val="0"/>
          <w:sz w:val="24"/>
          <w:szCs w:val="24"/>
        </w:rPr>
        <w:t>，未被列入政府采购严重违法失信行为记录名单。</w:t>
      </w:r>
    </w:p>
    <w:p w14:paraId="5881C51A">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5</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落实政府采购政策需满足的资格要求：</w:t>
      </w:r>
      <w:r>
        <w:rPr>
          <w:rFonts w:hint="eastAsia" w:ascii="宋体" w:hAnsi="宋体" w:eastAsia="宋体" w:cs="宋体"/>
          <w:spacing w:val="0"/>
          <w:position w:val="0"/>
          <w:sz w:val="24"/>
          <w:szCs w:val="24"/>
          <w:lang w:val="en-US" w:eastAsia="zh-CN"/>
        </w:rPr>
        <w:t>专门面向中小微企业采购的项目，申请人应是符合要求的中小微企业，提供《中小企业声明函》。</w:t>
      </w:r>
    </w:p>
    <w:p w14:paraId="7E8A7A1C">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6</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rPr>
        <w:t>本项目的特定资格要求：</w:t>
      </w:r>
    </w:p>
    <w:p w14:paraId="062B9AA6">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6.1供应商应具备建设行政主管部门颁发的房屋建筑工程和市政基础设施工程二类及以上施工图设计文件审查机构认定书，并在湖北省房屋建筑和市政基础设施工程施工图审查机构及人员名录内（省外施工图审查机构和审查人员进鄂无须办理备案，需在“湖北省建筑市场监督与诚信一体化平台”上完成信息录入，并提供截图）。</w:t>
      </w:r>
    </w:p>
    <w:p w14:paraId="15796D9F">
      <w:pPr>
        <w:keepNext w:val="0"/>
        <w:keepLines/>
        <w:pageBreakBefore w:val="0"/>
        <w:widowControl/>
        <w:kinsoku/>
        <w:wordWrap w:val="0"/>
        <w:overflowPunct/>
        <w:topLinePunct/>
        <w:autoSpaceDE/>
        <w:autoSpaceDN/>
        <w:bidi w:val="0"/>
        <w:adjustRightInd w:val="0"/>
        <w:snapToGrid/>
        <w:spacing w:line="500" w:lineRule="exact"/>
        <w:ind w:left="0" w:right="0" w:firstLine="0" w:firstLineChars="0"/>
        <w:jc w:val="both"/>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val="en-US" w:eastAsia="zh-CN"/>
        </w:rPr>
        <w:t>6.2 供应商拟派本项目的项目负责人应具有一级注册建筑工程师执业资格。</w:t>
      </w:r>
    </w:p>
    <w:p w14:paraId="33C0590F">
      <w:pPr>
        <w:keepNext w:val="0"/>
        <w:keepLines/>
        <w:pageBreakBefore w:val="0"/>
        <w:numPr>
          <w:ilvl w:val="0"/>
          <w:numId w:val="0"/>
        </w:numPr>
        <w:kinsoku/>
        <w:overflowPunct/>
        <w:autoSpaceDE/>
        <w:autoSpaceDN/>
        <w:bidi w:val="0"/>
        <w:snapToGrid/>
        <w:spacing w:line="500" w:lineRule="exact"/>
        <w:ind w:firstLine="0" w:firstLineChars="0"/>
        <w:jc w:val="both"/>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三、获取</w:t>
      </w:r>
      <w:r>
        <w:rPr>
          <w:rFonts w:hint="eastAsia" w:ascii="宋体" w:hAnsi="宋体" w:eastAsia="宋体" w:cs="宋体"/>
          <w:b/>
          <w:bCs/>
          <w:color w:val="auto"/>
          <w:spacing w:val="0"/>
          <w:position w:val="0"/>
          <w:sz w:val="24"/>
          <w:szCs w:val="24"/>
          <w:highlight w:val="none"/>
          <w:lang w:val="en-US" w:eastAsia="zh-CN"/>
        </w:rPr>
        <w:t>采购</w:t>
      </w:r>
      <w:r>
        <w:rPr>
          <w:rFonts w:hint="eastAsia" w:ascii="宋体" w:hAnsi="宋体" w:eastAsia="宋体" w:cs="宋体"/>
          <w:b/>
          <w:bCs/>
          <w:color w:val="auto"/>
          <w:spacing w:val="0"/>
          <w:position w:val="0"/>
          <w:sz w:val="24"/>
          <w:szCs w:val="24"/>
          <w:highlight w:val="none"/>
        </w:rPr>
        <w:t>文件</w:t>
      </w:r>
    </w:p>
    <w:p w14:paraId="1FDD2F79">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1、时间：20</w:t>
      </w:r>
      <w:r>
        <w:rPr>
          <w:rFonts w:hint="eastAsia" w:ascii="宋体" w:hAnsi="宋体" w:eastAsia="宋体" w:cs="宋体"/>
          <w:color w:val="auto"/>
          <w:spacing w:val="0"/>
          <w:position w:val="0"/>
          <w:sz w:val="24"/>
          <w:szCs w:val="24"/>
          <w:highlight w:val="none"/>
          <w:lang w:val="en-US" w:eastAsia="zh-CN"/>
        </w:rPr>
        <w:t>25</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lang w:val="en-US" w:eastAsia="zh-CN"/>
        </w:rPr>
        <w:t>09</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lang w:val="en-US" w:eastAsia="zh-CN"/>
        </w:rPr>
        <w:t>08</w:t>
      </w:r>
      <w:r>
        <w:rPr>
          <w:rFonts w:hint="eastAsia" w:ascii="宋体" w:hAnsi="宋体" w:eastAsia="宋体" w:cs="宋体"/>
          <w:color w:val="auto"/>
          <w:spacing w:val="0"/>
          <w:position w:val="0"/>
          <w:sz w:val="24"/>
          <w:szCs w:val="24"/>
          <w:highlight w:val="none"/>
        </w:rPr>
        <w:t>日至202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lang w:val="en-US" w:eastAsia="zh-CN"/>
        </w:rPr>
        <w:t>09</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日，每天上午08:30至12:00，下午14:30至17:00</w:t>
      </w:r>
      <w:r>
        <w:rPr>
          <w:rFonts w:hint="eastAsia" w:ascii="宋体" w:hAnsi="宋体" w:eastAsia="宋体" w:cs="宋体"/>
          <w:color w:val="auto"/>
          <w:spacing w:val="0"/>
          <w:position w:val="0"/>
          <w:sz w:val="24"/>
          <w:szCs w:val="24"/>
          <w:highlight w:val="none"/>
          <w:lang w:eastAsia="zh-CN"/>
        </w:rPr>
        <w:t>；</w:t>
      </w:r>
    </w:p>
    <w:p w14:paraId="62576433">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2、地点：</w:t>
      </w:r>
      <w:r>
        <w:rPr>
          <w:rFonts w:hint="eastAsia" w:ascii="宋体" w:hAnsi="宋体" w:eastAsia="宋体" w:cs="宋体"/>
          <w:spacing w:val="0"/>
          <w:position w:val="0"/>
          <w:sz w:val="24"/>
          <w:szCs w:val="24"/>
          <w:lang w:val="en-US" w:eastAsia="zh-CN"/>
        </w:rPr>
        <w:t>湖北华瑞达建设工程咨询有限公司（竹山县城关镇明清大道214号）</w:t>
      </w:r>
    </w:p>
    <w:p w14:paraId="13F15599">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3、方式：携登记表（见附件，自行下载并如实填写）、营业执照扫描件、法定代表人身份证（法人领取时）或法定代表人授权委托书（委托他人领取时）及被委托人身份证扫描件到竹山县城关镇明清大道214号现场获取，或将以上文件以PDF格式发送至电子邮箱1569773320@qq.com（文件名须以项目名称+公司名称+联系方式命名，否则不予受理）获取，资料发送后及时联系项目负责人。</w:t>
      </w:r>
      <w:r>
        <w:rPr>
          <w:rFonts w:hint="eastAsia" w:ascii="宋体" w:hAnsi="宋体" w:eastAsia="宋体" w:cs="宋体"/>
          <w:b w:val="0"/>
          <w:bCs w:val="0"/>
          <w:color w:val="auto"/>
          <w:spacing w:val="0"/>
          <w:position w:val="0"/>
          <w:sz w:val="24"/>
          <w:szCs w:val="24"/>
        </w:rPr>
        <w:t>逾期报名及资料不清晰不齐全将不予受理。</w:t>
      </w:r>
      <w:r>
        <w:rPr>
          <w:rFonts w:hint="eastAsia" w:ascii="宋体" w:hAnsi="宋体" w:eastAsia="宋体" w:cs="宋体"/>
          <w:color w:val="auto"/>
          <w:spacing w:val="0"/>
          <w:position w:val="0"/>
          <w:sz w:val="24"/>
          <w:szCs w:val="24"/>
        </w:rPr>
        <w:t xml:space="preserve"> </w:t>
      </w:r>
    </w:p>
    <w:p w14:paraId="65DB14DB">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lang w:eastAsia="zh-CN"/>
        </w:rPr>
      </w:pPr>
      <w:r>
        <w:rPr>
          <w:rFonts w:hint="eastAsia" w:ascii="宋体" w:hAnsi="宋体" w:eastAsia="宋体" w:cs="宋体"/>
          <w:color w:val="auto"/>
          <w:spacing w:val="0"/>
          <w:position w:val="0"/>
          <w:sz w:val="24"/>
          <w:szCs w:val="24"/>
        </w:rPr>
        <w:t>4、售价：</w:t>
      </w:r>
      <w:r>
        <w:rPr>
          <w:rFonts w:hint="eastAsia" w:ascii="宋体" w:hAnsi="宋体" w:eastAsia="宋体" w:cs="宋体"/>
          <w:color w:val="auto"/>
          <w:spacing w:val="0"/>
          <w:position w:val="0"/>
          <w:sz w:val="24"/>
          <w:szCs w:val="24"/>
          <w:lang w:val="en-US" w:eastAsia="zh-CN"/>
        </w:rPr>
        <w:t>0</w:t>
      </w:r>
      <w:r>
        <w:rPr>
          <w:rFonts w:hint="eastAsia" w:ascii="宋体" w:hAnsi="宋体" w:eastAsia="宋体" w:cs="宋体"/>
          <w:color w:val="auto"/>
          <w:spacing w:val="0"/>
          <w:position w:val="0"/>
          <w:sz w:val="24"/>
          <w:szCs w:val="24"/>
          <w:lang w:eastAsia="zh-CN"/>
        </w:rPr>
        <w:t>（</w:t>
      </w:r>
      <w:r>
        <w:rPr>
          <w:rFonts w:hint="eastAsia" w:ascii="宋体" w:hAnsi="宋体" w:eastAsia="宋体" w:cs="宋体"/>
          <w:color w:val="auto"/>
          <w:spacing w:val="0"/>
          <w:position w:val="0"/>
          <w:sz w:val="24"/>
          <w:szCs w:val="24"/>
        </w:rPr>
        <w:t>元</w:t>
      </w:r>
      <w:r>
        <w:rPr>
          <w:rFonts w:hint="eastAsia" w:ascii="宋体" w:hAnsi="宋体" w:eastAsia="宋体" w:cs="宋体"/>
          <w:color w:val="auto"/>
          <w:spacing w:val="0"/>
          <w:position w:val="0"/>
          <w:sz w:val="24"/>
          <w:szCs w:val="24"/>
          <w:lang w:eastAsia="zh-CN"/>
        </w:rPr>
        <w:t>）</w:t>
      </w:r>
    </w:p>
    <w:p w14:paraId="43F3B1DB">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b/>
          <w:bCs/>
          <w:color w:val="auto"/>
          <w:spacing w:val="0"/>
          <w:position w:val="0"/>
          <w:sz w:val="24"/>
          <w:szCs w:val="24"/>
        </w:rPr>
      </w:pPr>
      <w:r>
        <w:rPr>
          <w:rFonts w:hint="eastAsia" w:ascii="宋体" w:hAnsi="宋体" w:eastAsia="宋体" w:cs="宋体"/>
          <w:b/>
          <w:bCs/>
          <w:color w:val="auto"/>
          <w:spacing w:val="0"/>
          <w:position w:val="0"/>
          <w:sz w:val="24"/>
          <w:szCs w:val="24"/>
        </w:rPr>
        <w:t>四、</w:t>
      </w:r>
      <w:r>
        <w:rPr>
          <w:rFonts w:hint="eastAsia" w:ascii="宋体" w:hAnsi="宋体" w:eastAsia="宋体" w:cs="宋体"/>
          <w:b/>
          <w:bCs/>
          <w:color w:val="auto"/>
          <w:spacing w:val="0"/>
          <w:position w:val="0"/>
          <w:sz w:val="24"/>
          <w:szCs w:val="24"/>
          <w:lang w:val="en-US" w:eastAsia="zh-CN"/>
        </w:rPr>
        <w:t>响应文件提交</w:t>
      </w:r>
    </w:p>
    <w:p w14:paraId="1FE4546E">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rPr>
        <w:t>1、开始时</w:t>
      </w:r>
      <w:r>
        <w:rPr>
          <w:rFonts w:hint="eastAsia" w:ascii="宋体" w:hAnsi="宋体" w:eastAsia="宋体" w:cs="宋体"/>
          <w:color w:val="auto"/>
          <w:spacing w:val="0"/>
          <w:position w:val="0"/>
          <w:sz w:val="24"/>
          <w:szCs w:val="24"/>
          <w:highlight w:val="none"/>
        </w:rPr>
        <w:t>间：202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lang w:val="en-US" w:eastAsia="zh-CN"/>
        </w:rPr>
        <w:t>09月18日14</w:t>
      </w:r>
      <w:r>
        <w:rPr>
          <w:rFonts w:hint="eastAsia" w:ascii="宋体" w:hAnsi="宋体" w:eastAsia="宋体" w:cs="宋体"/>
          <w:color w:val="auto"/>
          <w:spacing w:val="0"/>
          <w:position w:val="0"/>
          <w:sz w:val="24"/>
          <w:szCs w:val="24"/>
          <w:highlight w:val="none"/>
        </w:rPr>
        <w:t>点</w:t>
      </w:r>
      <w:r>
        <w:rPr>
          <w:rFonts w:hint="eastAsia" w:ascii="宋体" w:hAnsi="宋体" w:eastAsia="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 xml:space="preserve">分（北京时间） </w:t>
      </w:r>
    </w:p>
    <w:p w14:paraId="28256882">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2、截止时间：202</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lang w:val="en-US" w:eastAsia="zh-CN"/>
        </w:rPr>
        <w:t>09月18日15</w:t>
      </w:r>
      <w:r>
        <w:rPr>
          <w:rFonts w:hint="eastAsia" w:ascii="宋体" w:hAnsi="宋体" w:eastAsia="宋体" w:cs="宋体"/>
          <w:color w:val="auto"/>
          <w:spacing w:val="0"/>
          <w:position w:val="0"/>
          <w:sz w:val="24"/>
          <w:szCs w:val="24"/>
          <w:highlight w:val="none"/>
        </w:rPr>
        <w:t>点</w:t>
      </w:r>
      <w:r>
        <w:rPr>
          <w:rFonts w:hint="eastAsia" w:ascii="宋体" w:hAnsi="宋体" w:eastAsia="宋体" w:cs="宋体"/>
          <w:color w:val="auto"/>
          <w:spacing w:val="0"/>
          <w:position w:val="0"/>
          <w:sz w:val="24"/>
          <w:szCs w:val="24"/>
          <w:highlight w:val="none"/>
          <w:lang w:val="en-US" w:eastAsia="zh-CN"/>
        </w:rPr>
        <w:t>00</w:t>
      </w:r>
      <w:r>
        <w:rPr>
          <w:rFonts w:hint="eastAsia" w:ascii="宋体" w:hAnsi="宋体" w:eastAsia="宋体" w:cs="宋体"/>
          <w:color w:val="auto"/>
          <w:spacing w:val="0"/>
          <w:position w:val="0"/>
          <w:sz w:val="24"/>
          <w:szCs w:val="24"/>
          <w:highlight w:val="none"/>
        </w:rPr>
        <w:t xml:space="preserve">分（北京时间） </w:t>
      </w:r>
    </w:p>
    <w:p w14:paraId="7D5A68B5">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3、地点：</w:t>
      </w:r>
      <w:r>
        <w:rPr>
          <w:rFonts w:hint="eastAsia" w:ascii="宋体" w:hAnsi="宋体" w:eastAsia="宋体" w:cs="宋体"/>
          <w:spacing w:val="0"/>
          <w:position w:val="0"/>
          <w:sz w:val="24"/>
          <w:szCs w:val="24"/>
          <w:lang w:val="en-US" w:eastAsia="zh-CN"/>
        </w:rPr>
        <w:t>湖北华瑞达建设工程咨询有限公司（竹山县城关镇明清大道214号）</w:t>
      </w:r>
    </w:p>
    <w:p w14:paraId="5B685F41">
      <w:pPr>
        <w:keepNext w:val="0"/>
        <w:keepLines/>
        <w:pageBreakBefore w:val="0"/>
        <w:kinsoku/>
        <w:overflowPunct/>
        <w:autoSpaceDE/>
        <w:autoSpaceDN/>
        <w:bidi w:val="0"/>
        <w:snapToGrid/>
        <w:spacing w:line="500" w:lineRule="exact"/>
        <w:ind w:firstLine="0" w:firstLineChars="0"/>
        <w:jc w:val="both"/>
        <w:rPr>
          <w:rFonts w:hint="default" w:ascii="宋体" w:hAnsi="宋体" w:eastAsia="宋体" w:cs="宋体"/>
          <w:b/>
          <w:bCs/>
          <w:color w:val="auto"/>
          <w:spacing w:val="0"/>
          <w:position w:val="0"/>
          <w:sz w:val="24"/>
          <w:szCs w:val="24"/>
          <w:lang w:val="en-US" w:eastAsia="zh-CN"/>
        </w:rPr>
      </w:pPr>
      <w:r>
        <w:rPr>
          <w:rFonts w:hint="eastAsia" w:ascii="宋体" w:hAnsi="宋体" w:eastAsia="宋体" w:cs="宋体"/>
          <w:b/>
          <w:bCs/>
          <w:color w:val="auto"/>
          <w:spacing w:val="0"/>
          <w:position w:val="0"/>
          <w:sz w:val="24"/>
          <w:szCs w:val="24"/>
        </w:rPr>
        <w:t>五、</w:t>
      </w:r>
      <w:r>
        <w:rPr>
          <w:rFonts w:hint="eastAsia" w:ascii="宋体" w:hAnsi="宋体" w:eastAsia="宋体" w:cs="宋体"/>
          <w:b/>
          <w:bCs/>
          <w:color w:val="auto"/>
          <w:spacing w:val="0"/>
          <w:position w:val="0"/>
          <w:sz w:val="24"/>
          <w:szCs w:val="24"/>
          <w:lang w:val="en-US" w:eastAsia="zh-CN"/>
        </w:rPr>
        <w:t>开启</w:t>
      </w:r>
    </w:p>
    <w:p w14:paraId="4383EDD0">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1、时间：202</w:t>
      </w:r>
      <w:r>
        <w:rPr>
          <w:rFonts w:hint="eastAsia" w:ascii="宋体" w:hAnsi="宋体" w:eastAsia="宋体" w:cs="宋体"/>
          <w:color w:val="auto"/>
          <w:spacing w:val="0"/>
          <w:position w:val="0"/>
          <w:sz w:val="24"/>
          <w:szCs w:val="24"/>
          <w:lang w:val="en-US" w:eastAsia="zh-CN"/>
        </w:rPr>
        <w:t>5</w:t>
      </w:r>
      <w:r>
        <w:rPr>
          <w:rFonts w:hint="eastAsia" w:ascii="宋体" w:hAnsi="宋体" w:eastAsia="宋体" w:cs="宋体"/>
          <w:color w:val="auto"/>
          <w:spacing w:val="0"/>
          <w:position w:val="0"/>
          <w:sz w:val="24"/>
          <w:szCs w:val="24"/>
        </w:rPr>
        <w:t>年</w:t>
      </w:r>
      <w:r>
        <w:rPr>
          <w:rFonts w:hint="eastAsia" w:ascii="宋体" w:hAnsi="宋体" w:eastAsia="宋体" w:cs="宋体"/>
          <w:color w:val="auto"/>
          <w:spacing w:val="0"/>
          <w:position w:val="0"/>
          <w:sz w:val="24"/>
          <w:szCs w:val="24"/>
          <w:lang w:val="en-US" w:eastAsia="zh-CN"/>
        </w:rPr>
        <w:t>09月18日15</w:t>
      </w:r>
      <w:r>
        <w:rPr>
          <w:rFonts w:hint="eastAsia" w:ascii="宋体" w:hAnsi="宋体" w:eastAsia="宋体" w:cs="宋体"/>
          <w:color w:val="auto"/>
          <w:spacing w:val="0"/>
          <w:position w:val="0"/>
          <w:sz w:val="24"/>
          <w:szCs w:val="24"/>
        </w:rPr>
        <w:t>点</w:t>
      </w:r>
      <w:r>
        <w:rPr>
          <w:rFonts w:hint="eastAsia" w:ascii="宋体" w:hAnsi="宋体" w:eastAsia="宋体" w:cs="宋体"/>
          <w:color w:val="auto"/>
          <w:spacing w:val="0"/>
          <w:position w:val="0"/>
          <w:sz w:val="24"/>
          <w:szCs w:val="24"/>
          <w:lang w:val="en-US" w:eastAsia="zh-CN"/>
        </w:rPr>
        <w:t>00</w:t>
      </w:r>
      <w:r>
        <w:rPr>
          <w:rFonts w:hint="eastAsia" w:ascii="宋体" w:hAnsi="宋体" w:eastAsia="宋体" w:cs="宋体"/>
          <w:color w:val="auto"/>
          <w:spacing w:val="0"/>
          <w:position w:val="0"/>
          <w:sz w:val="24"/>
          <w:szCs w:val="24"/>
        </w:rPr>
        <w:t xml:space="preserve">分（北京时间） </w:t>
      </w:r>
    </w:p>
    <w:p w14:paraId="244CCB6F">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b/>
          <w:bCs/>
          <w:color w:val="auto"/>
          <w:spacing w:val="0"/>
          <w:position w:val="0"/>
          <w:sz w:val="24"/>
          <w:szCs w:val="24"/>
        </w:rPr>
      </w:pPr>
      <w:r>
        <w:rPr>
          <w:rFonts w:hint="eastAsia" w:ascii="宋体" w:hAnsi="宋体" w:eastAsia="宋体" w:cs="宋体"/>
          <w:color w:val="auto"/>
          <w:spacing w:val="0"/>
          <w:position w:val="0"/>
          <w:sz w:val="24"/>
          <w:szCs w:val="24"/>
          <w:lang w:val="en-US" w:eastAsia="zh-CN"/>
        </w:rPr>
        <w:t>2</w:t>
      </w:r>
      <w:r>
        <w:rPr>
          <w:rFonts w:hint="eastAsia" w:ascii="宋体" w:hAnsi="宋体" w:eastAsia="宋体" w:cs="宋体"/>
          <w:color w:val="auto"/>
          <w:spacing w:val="0"/>
          <w:position w:val="0"/>
          <w:sz w:val="24"/>
          <w:szCs w:val="24"/>
        </w:rPr>
        <w:t>、地点：</w:t>
      </w:r>
      <w:r>
        <w:rPr>
          <w:rFonts w:hint="eastAsia" w:ascii="宋体" w:hAnsi="宋体" w:eastAsia="宋体" w:cs="宋体"/>
          <w:spacing w:val="0"/>
          <w:position w:val="0"/>
          <w:sz w:val="24"/>
          <w:szCs w:val="24"/>
          <w:lang w:val="en-US" w:eastAsia="zh-CN"/>
        </w:rPr>
        <w:t>湖北华瑞达建设工程咨询有限公司（竹山县城关镇明清大道214号）</w:t>
      </w:r>
    </w:p>
    <w:p w14:paraId="421B03B1">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b/>
          <w:bCs/>
          <w:color w:val="auto"/>
          <w:spacing w:val="0"/>
          <w:position w:val="0"/>
          <w:sz w:val="24"/>
          <w:szCs w:val="24"/>
        </w:rPr>
      </w:pPr>
      <w:r>
        <w:rPr>
          <w:rFonts w:hint="eastAsia" w:ascii="宋体" w:hAnsi="宋体" w:eastAsia="宋体" w:cs="宋体"/>
          <w:b/>
          <w:bCs/>
          <w:color w:val="auto"/>
          <w:spacing w:val="0"/>
          <w:position w:val="0"/>
          <w:sz w:val="24"/>
          <w:szCs w:val="24"/>
          <w:lang w:val="en-US" w:eastAsia="zh-CN"/>
        </w:rPr>
        <w:t>六、</w:t>
      </w:r>
      <w:r>
        <w:rPr>
          <w:rFonts w:hint="eastAsia" w:ascii="宋体" w:hAnsi="宋体" w:eastAsia="宋体" w:cs="宋体"/>
          <w:b/>
          <w:bCs/>
          <w:color w:val="auto"/>
          <w:spacing w:val="0"/>
          <w:position w:val="0"/>
          <w:sz w:val="24"/>
          <w:szCs w:val="24"/>
        </w:rPr>
        <w:t>公告期限</w:t>
      </w:r>
    </w:p>
    <w:p w14:paraId="5D1A5954">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color w:val="auto"/>
          <w:spacing w:val="0"/>
          <w:position w:val="0"/>
          <w:sz w:val="24"/>
          <w:szCs w:val="24"/>
        </w:rPr>
      </w:pPr>
      <w:r>
        <w:rPr>
          <w:rFonts w:hint="eastAsia" w:ascii="宋体" w:hAnsi="宋体" w:eastAsia="宋体" w:cs="宋体"/>
          <w:color w:val="auto"/>
          <w:spacing w:val="0"/>
          <w:position w:val="0"/>
          <w:sz w:val="24"/>
          <w:szCs w:val="24"/>
        </w:rPr>
        <w:t>自本公告发布之日起3个工作日。</w:t>
      </w:r>
    </w:p>
    <w:p w14:paraId="43C3CBC4">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b/>
          <w:bCs/>
          <w:color w:val="auto"/>
          <w:spacing w:val="0"/>
          <w:position w:val="0"/>
          <w:sz w:val="24"/>
          <w:szCs w:val="24"/>
        </w:rPr>
      </w:pPr>
      <w:r>
        <w:rPr>
          <w:rFonts w:hint="eastAsia" w:ascii="宋体" w:hAnsi="宋体" w:eastAsia="宋体" w:cs="宋体"/>
          <w:b/>
          <w:bCs/>
          <w:color w:val="auto"/>
          <w:spacing w:val="0"/>
          <w:position w:val="0"/>
          <w:sz w:val="24"/>
          <w:szCs w:val="24"/>
          <w:lang w:val="en-US" w:eastAsia="zh-CN"/>
        </w:rPr>
        <w:t>七</w:t>
      </w:r>
      <w:r>
        <w:rPr>
          <w:rFonts w:hint="eastAsia" w:ascii="宋体" w:hAnsi="宋体" w:eastAsia="宋体" w:cs="宋体"/>
          <w:b/>
          <w:bCs/>
          <w:color w:val="auto"/>
          <w:spacing w:val="0"/>
          <w:position w:val="0"/>
          <w:sz w:val="24"/>
          <w:szCs w:val="24"/>
        </w:rPr>
        <w:t>、其他补充事宜</w:t>
      </w:r>
    </w:p>
    <w:p w14:paraId="133C50D7">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本公告在</w:t>
      </w:r>
      <w:r>
        <w:rPr>
          <w:rFonts w:hint="eastAsia" w:ascii="宋体" w:hAnsi="宋体" w:eastAsia="宋体" w:cs="宋体"/>
          <w:spacing w:val="0"/>
          <w:position w:val="0"/>
          <w:sz w:val="24"/>
          <w:szCs w:val="24"/>
          <w:lang w:eastAsia="zh-CN"/>
        </w:rPr>
        <w:t>《</w:t>
      </w:r>
      <w:r>
        <w:rPr>
          <w:rFonts w:hint="eastAsia" w:ascii="宋体" w:hAnsi="宋体" w:eastAsia="宋体" w:cs="宋体"/>
          <w:spacing w:val="0"/>
          <w:position w:val="0"/>
          <w:sz w:val="24"/>
          <w:szCs w:val="24"/>
          <w:lang w:val="en-US" w:eastAsia="zh-CN"/>
        </w:rPr>
        <w:t>今日竹山》</w:t>
      </w:r>
      <w:r>
        <w:rPr>
          <w:rFonts w:hint="eastAsia" w:ascii="宋体" w:hAnsi="宋体" w:eastAsia="宋体" w:cs="宋体"/>
          <w:spacing w:val="0"/>
          <w:position w:val="0"/>
          <w:sz w:val="24"/>
          <w:szCs w:val="24"/>
        </w:rPr>
        <w:t xml:space="preserve">发布。 </w:t>
      </w:r>
    </w:p>
    <w:p w14:paraId="19307AE5">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lang w:val="en-US" w:eastAsia="zh-CN"/>
        </w:rPr>
        <w:t>八</w:t>
      </w:r>
      <w:r>
        <w:rPr>
          <w:rFonts w:hint="eastAsia" w:ascii="宋体" w:hAnsi="宋体" w:eastAsia="宋体" w:cs="宋体"/>
          <w:b/>
          <w:bCs/>
          <w:spacing w:val="0"/>
          <w:position w:val="0"/>
          <w:sz w:val="24"/>
          <w:szCs w:val="24"/>
        </w:rPr>
        <w:t>、对本次招标提出询问，请按以下方式联系</w:t>
      </w:r>
    </w:p>
    <w:p w14:paraId="3BEC6166">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名   称：竹山县住房和城乡建设局</w:t>
      </w:r>
    </w:p>
    <w:p w14:paraId="456720BE">
      <w:pPr>
        <w:keepNext w:val="0"/>
        <w:keepLines/>
        <w:pageBreakBefore w:val="0"/>
        <w:kinsoku/>
        <w:overflowPunct/>
        <w:autoSpaceDE/>
        <w:autoSpaceDN/>
        <w:bidi w:val="0"/>
        <w:snapToGrid/>
        <w:spacing w:line="500" w:lineRule="exact"/>
        <w:ind w:firstLine="0" w:firstLineChars="0"/>
        <w:jc w:val="both"/>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地   址：竹山县城关镇</w:t>
      </w:r>
      <w:r>
        <w:rPr>
          <w:rFonts w:hint="eastAsia" w:ascii="宋体" w:hAnsi="宋体" w:eastAsia="宋体" w:cs="宋体"/>
          <w:spacing w:val="0"/>
          <w:position w:val="0"/>
          <w:sz w:val="24"/>
          <w:szCs w:val="24"/>
          <w:lang w:val="en-US" w:eastAsia="zh-CN"/>
        </w:rPr>
        <w:t>北大街23号</w:t>
      </w:r>
    </w:p>
    <w:p w14:paraId="22EFF2CE">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联系人：任先生</w:t>
      </w:r>
    </w:p>
    <w:p w14:paraId="0363CDCE">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联系方式：</w:t>
      </w:r>
      <w:r>
        <w:rPr>
          <w:rFonts w:hint="eastAsia" w:ascii="宋体" w:hAnsi="宋体" w:eastAsia="宋体" w:cs="宋体"/>
          <w:spacing w:val="0"/>
          <w:position w:val="0"/>
          <w:sz w:val="24"/>
          <w:szCs w:val="24"/>
          <w:lang w:val="en-US" w:eastAsia="zh-CN"/>
        </w:rPr>
        <w:t>13886832948</w:t>
      </w:r>
    </w:p>
    <w:p w14:paraId="502D931D">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2、采购代理机构信息</w:t>
      </w:r>
    </w:p>
    <w:p w14:paraId="41F8D61A">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名   称：</w:t>
      </w:r>
      <w:r>
        <w:rPr>
          <w:rFonts w:hint="eastAsia" w:ascii="宋体" w:hAnsi="宋体" w:eastAsia="宋体" w:cs="宋体"/>
          <w:spacing w:val="0"/>
          <w:position w:val="0"/>
          <w:sz w:val="24"/>
          <w:szCs w:val="24"/>
          <w:lang w:val="en-US" w:eastAsia="zh-CN"/>
        </w:rPr>
        <w:t>湖北华瑞达建设工程咨询有限公司</w:t>
      </w:r>
    </w:p>
    <w:p w14:paraId="3A129CBA">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地   址：</w:t>
      </w:r>
      <w:r>
        <w:rPr>
          <w:rFonts w:hint="eastAsia" w:ascii="宋体" w:hAnsi="宋体" w:eastAsia="宋体" w:cs="宋体"/>
          <w:spacing w:val="0"/>
          <w:position w:val="0"/>
          <w:sz w:val="24"/>
          <w:szCs w:val="24"/>
          <w:lang w:val="en-US" w:eastAsia="zh-CN"/>
        </w:rPr>
        <w:t>竹山县城关镇明清大道214号</w:t>
      </w:r>
    </w:p>
    <w:p w14:paraId="692969DA">
      <w:pPr>
        <w:keepNext w:val="0"/>
        <w:keepLines/>
        <w:pageBreakBefore w:val="0"/>
        <w:kinsoku/>
        <w:overflowPunct/>
        <w:autoSpaceDE/>
        <w:autoSpaceDN/>
        <w:bidi w:val="0"/>
        <w:snapToGrid/>
        <w:spacing w:line="500" w:lineRule="exact"/>
        <w:ind w:firstLine="0" w:firstLineChars="0"/>
        <w:jc w:val="both"/>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项目联系人：</w:t>
      </w:r>
      <w:r>
        <w:rPr>
          <w:rFonts w:hint="eastAsia" w:ascii="宋体" w:hAnsi="宋体" w:eastAsia="宋体" w:cs="宋体"/>
          <w:spacing w:val="0"/>
          <w:position w:val="0"/>
          <w:sz w:val="24"/>
          <w:szCs w:val="24"/>
          <w:lang w:val="en-US" w:eastAsia="zh-CN"/>
        </w:rPr>
        <w:t>卢</w:t>
      </w:r>
      <w:r>
        <w:rPr>
          <w:rFonts w:hint="eastAsia" w:ascii="宋体" w:hAnsi="宋体" w:eastAsia="宋体" w:cs="宋体"/>
          <w:spacing w:val="0"/>
          <w:position w:val="0"/>
          <w:sz w:val="24"/>
          <w:szCs w:val="24"/>
          <w:lang w:eastAsia="zh-CN"/>
        </w:rPr>
        <w:t>女士</w:t>
      </w:r>
      <w:r>
        <w:rPr>
          <w:rFonts w:hint="eastAsia" w:ascii="宋体" w:hAnsi="宋体" w:eastAsia="宋体" w:cs="宋体"/>
          <w:spacing w:val="0"/>
          <w:position w:val="0"/>
          <w:sz w:val="24"/>
          <w:szCs w:val="24"/>
        </w:rPr>
        <w:t xml:space="preserve"> </w:t>
      </w:r>
    </w:p>
    <w:p w14:paraId="2AA78AE8">
      <w:pPr>
        <w:keepNext w:val="0"/>
        <w:keepLines/>
        <w:pageBreakBefore w:val="0"/>
        <w:kinsoku/>
        <w:overflowPunct/>
        <w:autoSpaceDE/>
        <w:autoSpaceDN/>
        <w:bidi w:val="0"/>
        <w:snapToGrid/>
        <w:spacing w:line="500" w:lineRule="exact"/>
        <w:ind w:firstLine="0" w:firstLineChars="0"/>
        <w:jc w:val="both"/>
        <w:rPr>
          <w:rFonts w:hint="default"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rPr>
        <w:t>电   话：</w:t>
      </w:r>
      <w:r>
        <w:rPr>
          <w:rFonts w:hint="eastAsia" w:ascii="宋体" w:hAnsi="宋体" w:eastAsia="宋体" w:cs="宋体"/>
          <w:spacing w:val="0"/>
          <w:position w:val="0"/>
          <w:sz w:val="24"/>
          <w:szCs w:val="24"/>
          <w:lang w:val="en-US" w:eastAsia="zh-CN"/>
        </w:rPr>
        <w:t>0719-4211008</w:t>
      </w:r>
    </w:p>
    <w:p w14:paraId="5548E67A"/>
    <w:p w14:paraId="5E63D15F">
      <w:pPr>
        <w:jc w:val="center"/>
        <w:outlineLvl w:val="0"/>
        <w:rPr>
          <w:rFonts w:hint="eastAsia" w:eastAsia="黑体" w:asciiTheme="minorHAnsi" w:hAnsiTheme="minorHAnsi" w:cstheme="minorBidi"/>
          <w:b/>
          <w:bCs/>
          <w:kern w:val="44"/>
          <w:sz w:val="32"/>
          <w:szCs w:val="32"/>
          <w:lang w:val="en-US" w:eastAsia="zh-CN" w:bidi="ar-SA"/>
        </w:rPr>
      </w:pPr>
    </w:p>
    <w:p w14:paraId="3330B018">
      <w:pPr>
        <w:jc w:val="center"/>
        <w:outlineLvl w:val="0"/>
        <w:rPr>
          <w:rFonts w:hint="eastAsia" w:eastAsia="黑体" w:asciiTheme="minorHAnsi" w:hAnsiTheme="minorHAnsi" w:cstheme="minorBidi"/>
          <w:b/>
          <w:bCs/>
          <w:kern w:val="44"/>
          <w:sz w:val="32"/>
          <w:szCs w:val="32"/>
          <w:lang w:val="en-US" w:eastAsia="zh-CN" w:bidi="ar-SA"/>
        </w:rPr>
      </w:pPr>
    </w:p>
    <w:p w14:paraId="5A71C879">
      <w:pPr>
        <w:jc w:val="center"/>
        <w:outlineLvl w:val="0"/>
        <w:rPr>
          <w:rFonts w:hint="eastAsia" w:eastAsia="黑体" w:asciiTheme="minorHAnsi" w:hAnsiTheme="minorHAnsi" w:cstheme="minorBidi"/>
          <w:b/>
          <w:bCs/>
          <w:kern w:val="44"/>
          <w:sz w:val="32"/>
          <w:szCs w:val="32"/>
          <w:lang w:val="en-US" w:eastAsia="zh-CN" w:bidi="ar-SA"/>
        </w:rPr>
      </w:pPr>
    </w:p>
    <w:p w14:paraId="3028CB8C">
      <w:pPr>
        <w:jc w:val="center"/>
        <w:outlineLvl w:val="0"/>
        <w:rPr>
          <w:rFonts w:hint="eastAsia" w:eastAsia="黑体" w:asciiTheme="minorHAnsi" w:hAnsiTheme="minorHAnsi" w:cstheme="minorBidi"/>
          <w:b/>
          <w:bCs/>
          <w:kern w:val="44"/>
          <w:sz w:val="32"/>
          <w:szCs w:val="32"/>
          <w:lang w:val="en-US" w:eastAsia="zh-CN" w:bidi="ar-SA"/>
        </w:rPr>
      </w:pPr>
    </w:p>
    <w:p w14:paraId="6B1D9F73">
      <w:pPr>
        <w:jc w:val="both"/>
        <w:outlineLvl w:val="0"/>
        <w:rPr>
          <w:rFonts w:hint="eastAsia" w:eastAsia="黑体" w:asciiTheme="minorHAnsi" w:hAnsiTheme="minorHAnsi" w:cstheme="minorBidi"/>
          <w:b/>
          <w:bCs/>
          <w:kern w:val="44"/>
          <w:sz w:val="32"/>
          <w:szCs w:val="32"/>
          <w:lang w:val="en-US" w:eastAsia="zh-CN" w:bidi="ar-SA"/>
        </w:rPr>
      </w:pPr>
    </w:p>
    <w:p w14:paraId="23207871">
      <w:pPr>
        <w:jc w:val="center"/>
        <w:outlineLvl w:val="0"/>
        <w:rPr>
          <w:rFonts w:hint="eastAsia" w:eastAsia="黑体" w:asciiTheme="minorHAnsi" w:hAnsiTheme="minorHAnsi" w:cstheme="minorBidi"/>
          <w:b/>
          <w:bCs/>
          <w:kern w:val="44"/>
          <w:sz w:val="32"/>
          <w:szCs w:val="32"/>
          <w:lang w:val="en-US" w:eastAsia="zh-CN" w:bidi="ar-SA"/>
        </w:rPr>
      </w:pPr>
      <w:bookmarkStart w:id="14" w:name="_Toc15361"/>
      <w:r>
        <w:rPr>
          <w:rFonts w:hint="eastAsia" w:eastAsia="黑体" w:asciiTheme="minorHAnsi" w:hAnsiTheme="minorHAnsi" w:cstheme="minorBidi"/>
          <w:b/>
          <w:bCs/>
          <w:kern w:val="44"/>
          <w:sz w:val="32"/>
          <w:szCs w:val="32"/>
          <w:lang w:val="en-US" w:eastAsia="zh-CN" w:bidi="ar-SA"/>
        </w:rPr>
        <w:t>第二章 供应商须知</w:t>
      </w:r>
      <w:bookmarkEnd w:id="13"/>
      <w:bookmarkEnd w:id="14"/>
    </w:p>
    <w:p w14:paraId="23138D95">
      <w:pPr>
        <w:jc w:val="center"/>
        <w:rPr>
          <w:rFonts w:ascii="黑体" w:hAnsi="黑体" w:eastAsia="黑体"/>
          <w:sz w:val="24"/>
          <w:szCs w:val="24"/>
        </w:rPr>
      </w:pPr>
      <w:r>
        <w:rPr>
          <w:rFonts w:hint="eastAsia" w:ascii="黑体" w:hAnsi="黑体" w:eastAsia="黑体"/>
          <w:sz w:val="24"/>
          <w:szCs w:val="24"/>
        </w:rPr>
        <w:t>《供应商须知前附表》</w:t>
      </w:r>
    </w:p>
    <w:p w14:paraId="3B4216C7">
      <w:pPr>
        <w:jc w:val="center"/>
        <w:rPr>
          <w:rFonts w:ascii="黑体" w:hAnsi="黑体" w:eastAsia="黑体"/>
          <w:sz w:val="24"/>
          <w:szCs w:val="24"/>
        </w:rPr>
      </w:pPr>
    </w:p>
    <w:p w14:paraId="49C139C5">
      <w:pPr>
        <w:jc w:val="center"/>
        <w:rPr>
          <w:rFonts w:ascii="宋体" w:hAnsi="宋体" w:eastAsia="宋体"/>
          <w:szCs w:val="21"/>
        </w:rPr>
      </w:pPr>
      <w:r>
        <w:rPr>
          <w:rFonts w:hint="eastAsia" w:ascii="宋体" w:hAnsi="宋体" w:eastAsia="宋体"/>
          <w:szCs w:val="21"/>
        </w:rPr>
        <w:t>磋商供应商应仔细阅读竞争性磋商采购文件的第二章“供应商须知”，下面所列资料是对“供</w:t>
      </w:r>
    </w:p>
    <w:p w14:paraId="4C78C5E8">
      <w:pPr>
        <w:jc w:val="center"/>
        <w:rPr>
          <w:rFonts w:ascii="宋体" w:hAnsi="宋体" w:eastAsia="宋体"/>
          <w:szCs w:val="21"/>
        </w:rPr>
      </w:pPr>
      <w:r>
        <w:rPr>
          <w:rFonts w:hint="eastAsia" w:ascii="宋体" w:hAnsi="宋体" w:eastAsia="宋体"/>
          <w:szCs w:val="21"/>
        </w:rPr>
        <w:t>应商须知”的具体补充和说明。如有矛盾，应以本表为准。</w:t>
      </w:r>
    </w:p>
    <w:p w14:paraId="7310660C">
      <w:pPr>
        <w:rPr>
          <w:rFonts w:ascii="宋体" w:hAnsi="宋体" w:eastAsia="宋体"/>
          <w:szCs w:val="21"/>
        </w:rPr>
      </w:pPr>
    </w:p>
    <w:tbl>
      <w:tblPr>
        <w:tblStyle w:val="2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278"/>
        <w:gridCol w:w="5749"/>
      </w:tblGrid>
      <w:tr w14:paraId="6822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52" w:type="dxa"/>
            <w:vAlign w:val="center"/>
          </w:tcPr>
          <w:p w14:paraId="5DFDA6CB">
            <w:pPr>
              <w:jc w:val="center"/>
              <w:rPr>
                <w:rFonts w:ascii="黑体" w:hAnsi="黑体" w:eastAsia="黑体"/>
                <w:szCs w:val="21"/>
              </w:rPr>
            </w:pPr>
            <w:r>
              <w:rPr>
                <w:rFonts w:hint="eastAsia" w:ascii="黑体" w:hAnsi="黑体" w:eastAsia="黑体"/>
                <w:szCs w:val="21"/>
              </w:rPr>
              <w:t>条款号</w:t>
            </w:r>
          </w:p>
        </w:tc>
        <w:tc>
          <w:tcPr>
            <w:tcW w:w="2278" w:type="dxa"/>
            <w:vAlign w:val="center"/>
          </w:tcPr>
          <w:p w14:paraId="021A6100">
            <w:pPr>
              <w:jc w:val="center"/>
              <w:rPr>
                <w:rFonts w:ascii="黑体" w:hAnsi="黑体" w:eastAsia="黑体"/>
                <w:szCs w:val="21"/>
              </w:rPr>
            </w:pPr>
            <w:r>
              <w:rPr>
                <w:rFonts w:hint="eastAsia" w:ascii="黑体" w:hAnsi="黑体" w:eastAsia="黑体"/>
                <w:szCs w:val="21"/>
              </w:rPr>
              <w:t>条款名称</w:t>
            </w:r>
          </w:p>
        </w:tc>
        <w:tc>
          <w:tcPr>
            <w:tcW w:w="5749" w:type="dxa"/>
            <w:vAlign w:val="center"/>
          </w:tcPr>
          <w:p w14:paraId="15001028">
            <w:pPr>
              <w:jc w:val="center"/>
              <w:rPr>
                <w:rFonts w:ascii="黑体" w:hAnsi="黑体" w:eastAsia="黑体"/>
                <w:szCs w:val="21"/>
              </w:rPr>
            </w:pPr>
            <w:r>
              <w:rPr>
                <w:rFonts w:hint="eastAsia" w:ascii="黑体" w:hAnsi="黑体" w:eastAsia="黑体"/>
                <w:szCs w:val="21"/>
              </w:rPr>
              <w:t>编列内容</w:t>
            </w:r>
          </w:p>
        </w:tc>
      </w:tr>
      <w:tr w14:paraId="238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952" w:type="dxa"/>
            <w:vAlign w:val="center"/>
          </w:tcPr>
          <w:p w14:paraId="49ADEA66">
            <w:pPr>
              <w:rPr>
                <w:rFonts w:ascii="宋体" w:hAnsi="宋体" w:eastAsia="宋体"/>
                <w:szCs w:val="21"/>
              </w:rPr>
            </w:pPr>
            <w:r>
              <w:rPr>
                <w:rFonts w:hint="eastAsia" w:ascii="宋体" w:hAnsi="宋体" w:eastAsia="宋体"/>
                <w:szCs w:val="21"/>
              </w:rPr>
              <w:t>2.1</w:t>
            </w:r>
          </w:p>
        </w:tc>
        <w:tc>
          <w:tcPr>
            <w:tcW w:w="2278" w:type="dxa"/>
            <w:vAlign w:val="center"/>
          </w:tcPr>
          <w:p w14:paraId="049DFAF8">
            <w:pPr>
              <w:rPr>
                <w:rFonts w:hint="eastAsia" w:ascii="宋体" w:hAnsi="宋体" w:eastAsia="宋体"/>
                <w:szCs w:val="21"/>
              </w:rPr>
            </w:pPr>
            <w:r>
              <w:rPr>
                <w:rFonts w:hint="eastAsia" w:ascii="宋体" w:hAnsi="宋体" w:eastAsia="宋体"/>
                <w:szCs w:val="21"/>
                <w:highlight w:val="none"/>
              </w:rPr>
              <w:t>采购人</w:t>
            </w:r>
          </w:p>
        </w:tc>
        <w:tc>
          <w:tcPr>
            <w:tcW w:w="5749" w:type="dxa"/>
            <w:vAlign w:val="center"/>
          </w:tcPr>
          <w:p w14:paraId="50A9E10C">
            <w:pPr>
              <w:rPr>
                <w:rFonts w:hint="eastAsia" w:ascii="宋体" w:hAnsi="宋体" w:eastAsia="宋体"/>
                <w:szCs w:val="21"/>
                <w:lang w:eastAsia="zh-CN"/>
              </w:rPr>
            </w:pPr>
            <w:r>
              <w:rPr>
                <w:rFonts w:hint="eastAsia" w:ascii="宋体" w:hAnsi="宋体" w:eastAsia="宋体"/>
                <w:szCs w:val="21"/>
                <w:lang w:eastAsia="zh-CN"/>
              </w:rPr>
              <w:t>竹山县住房和城乡建设局</w:t>
            </w:r>
          </w:p>
        </w:tc>
      </w:tr>
      <w:tr w14:paraId="76C5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2" w:type="dxa"/>
            <w:vAlign w:val="center"/>
          </w:tcPr>
          <w:p w14:paraId="52E423C1">
            <w:pPr>
              <w:rPr>
                <w:rFonts w:ascii="宋体" w:hAnsi="宋体" w:eastAsia="宋体"/>
                <w:szCs w:val="21"/>
              </w:rPr>
            </w:pPr>
            <w:r>
              <w:rPr>
                <w:rFonts w:hint="eastAsia" w:ascii="宋体" w:hAnsi="宋体" w:eastAsia="宋体"/>
                <w:szCs w:val="21"/>
              </w:rPr>
              <w:t>2.2</w:t>
            </w:r>
          </w:p>
        </w:tc>
        <w:tc>
          <w:tcPr>
            <w:tcW w:w="2278" w:type="dxa"/>
            <w:vAlign w:val="center"/>
          </w:tcPr>
          <w:p w14:paraId="794B9774">
            <w:pPr>
              <w:rPr>
                <w:rFonts w:ascii="宋体" w:hAnsi="宋体" w:eastAsia="宋体"/>
                <w:szCs w:val="21"/>
              </w:rPr>
            </w:pPr>
            <w:r>
              <w:rPr>
                <w:rFonts w:hint="eastAsia" w:ascii="宋体" w:hAnsi="宋体" w:eastAsia="宋体"/>
                <w:szCs w:val="21"/>
              </w:rPr>
              <w:t>监管部门</w:t>
            </w:r>
          </w:p>
        </w:tc>
        <w:tc>
          <w:tcPr>
            <w:tcW w:w="5749" w:type="dxa"/>
            <w:vAlign w:val="center"/>
          </w:tcPr>
          <w:p w14:paraId="2646B281">
            <w:pPr>
              <w:rPr>
                <w:rFonts w:ascii="宋体" w:hAnsi="宋体" w:eastAsia="宋体"/>
                <w:szCs w:val="21"/>
              </w:rPr>
            </w:pPr>
            <w:r>
              <w:rPr>
                <w:rFonts w:hint="eastAsia" w:ascii="宋体" w:hAnsi="宋体" w:eastAsia="宋体"/>
                <w:szCs w:val="21"/>
              </w:rPr>
              <w:t>竹山县政府采购管理办公室</w:t>
            </w:r>
          </w:p>
        </w:tc>
      </w:tr>
      <w:tr w14:paraId="67E2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2" w:type="dxa"/>
            <w:vAlign w:val="center"/>
          </w:tcPr>
          <w:p w14:paraId="7F3C234F">
            <w:pPr>
              <w:rPr>
                <w:rFonts w:ascii="宋体" w:hAnsi="宋体" w:eastAsia="宋体"/>
                <w:szCs w:val="21"/>
              </w:rPr>
            </w:pPr>
            <w:r>
              <w:rPr>
                <w:rFonts w:hint="eastAsia" w:ascii="宋体" w:hAnsi="宋体" w:eastAsia="宋体"/>
                <w:szCs w:val="21"/>
              </w:rPr>
              <w:t>2.3</w:t>
            </w:r>
          </w:p>
        </w:tc>
        <w:tc>
          <w:tcPr>
            <w:tcW w:w="2278" w:type="dxa"/>
            <w:vAlign w:val="center"/>
          </w:tcPr>
          <w:p w14:paraId="6E018A7F">
            <w:pPr>
              <w:rPr>
                <w:rFonts w:ascii="宋体" w:hAnsi="宋体" w:eastAsia="宋体"/>
                <w:szCs w:val="21"/>
              </w:rPr>
            </w:pPr>
            <w:r>
              <w:rPr>
                <w:rFonts w:hint="eastAsia" w:ascii="宋体" w:hAnsi="宋体" w:eastAsia="宋体"/>
                <w:szCs w:val="21"/>
              </w:rPr>
              <w:t>采购代理机构</w:t>
            </w:r>
          </w:p>
        </w:tc>
        <w:tc>
          <w:tcPr>
            <w:tcW w:w="5749" w:type="dxa"/>
            <w:vAlign w:val="center"/>
          </w:tcPr>
          <w:p w14:paraId="5086C969">
            <w:pPr>
              <w:rPr>
                <w:rFonts w:hint="eastAsia" w:ascii="宋体" w:hAnsi="宋体" w:eastAsia="宋体"/>
                <w:szCs w:val="21"/>
                <w:lang w:eastAsia="zh-CN"/>
              </w:rPr>
            </w:pPr>
            <w:r>
              <w:rPr>
                <w:rFonts w:hint="eastAsia" w:ascii="宋体" w:hAnsi="宋体" w:eastAsia="宋体"/>
                <w:szCs w:val="21"/>
                <w:lang w:eastAsia="zh-CN"/>
              </w:rPr>
              <w:t>湖北华瑞达建设工程咨询有限公司</w:t>
            </w:r>
          </w:p>
        </w:tc>
      </w:tr>
      <w:tr w14:paraId="2EC5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952" w:type="dxa"/>
            <w:vAlign w:val="center"/>
          </w:tcPr>
          <w:p w14:paraId="27BAC5B3">
            <w:pPr>
              <w:rPr>
                <w:rFonts w:ascii="宋体" w:hAnsi="宋体" w:eastAsia="宋体"/>
                <w:szCs w:val="21"/>
              </w:rPr>
            </w:pPr>
            <w:r>
              <w:rPr>
                <w:rFonts w:hint="eastAsia" w:ascii="宋体" w:hAnsi="宋体" w:eastAsia="宋体"/>
                <w:szCs w:val="21"/>
              </w:rPr>
              <w:t>2.5</w:t>
            </w:r>
          </w:p>
        </w:tc>
        <w:tc>
          <w:tcPr>
            <w:tcW w:w="2278" w:type="dxa"/>
            <w:vAlign w:val="center"/>
          </w:tcPr>
          <w:p w14:paraId="02D04F4F">
            <w:pPr>
              <w:rPr>
                <w:rFonts w:ascii="宋体" w:hAnsi="宋体" w:eastAsia="宋体"/>
                <w:szCs w:val="21"/>
              </w:rPr>
            </w:pPr>
            <w:r>
              <w:rPr>
                <w:rFonts w:hint="eastAsia" w:ascii="宋体" w:hAnsi="宋体" w:eastAsia="宋体"/>
                <w:szCs w:val="21"/>
              </w:rPr>
              <w:t>磋商供应商</w:t>
            </w:r>
          </w:p>
        </w:tc>
        <w:tc>
          <w:tcPr>
            <w:tcW w:w="5749" w:type="dxa"/>
            <w:vAlign w:val="center"/>
          </w:tcPr>
          <w:p w14:paraId="2A516296">
            <w:pPr>
              <w:rPr>
                <w:rFonts w:ascii="宋体" w:hAnsi="宋体" w:eastAsia="宋体"/>
                <w:szCs w:val="21"/>
              </w:rPr>
            </w:pPr>
            <w:r>
              <w:rPr>
                <w:rFonts w:hint="eastAsia" w:ascii="宋体" w:hAnsi="宋体" w:eastAsia="宋体"/>
                <w:szCs w:val="21"/>
              </w:rPr>
              <w:t>详见第一章第二款相关要求</w:t>
            </w:r>
          </w:p>
        </w:tc>
      </w:tr>
      <w:tr w14:paraId="7BCE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952" w:type="dxa"/>
            <w:vAlign w:val="center"/>
          </w:tcPr>
          <w:p w14:paraId="74BCD7A1">
            <w:pPr>
              <w:rPr>
                <w:rFonts w:ascii="宋体" w:hAnsi="宋体" w:eastAsia="宋体"/>
                <w:szCs w:val="21"/>
              </w:rPr>
            </w:pPr>
            <w:r>
              <w:rPr>
                <w:rFonts w:hint="eastAsia" w:ascii="宋体" w:hAnsi="宋体" w:eastAsia="宋体"/>
                <w:szCs w:val="21"/>
              </w:rPr>
              <w:t>4.2</w:t>
            </w:r>
          </w:p>
        </w:tc>
        <w:tc>
          <w:tcPr>
            <w:tcW w:w="2278" w:type="dxa"/>
            <w:vAlign w:val="center"/>
          </w:tcPr>
          <w:p w14:paraId="6CEF1FEA">
            <w:pPr>
              <w:rPr>
                <w:rFonts w:ascii="宋体" w:hAnsi="宋体" w:eastAsia="宋体"/>
                <w:szCs w:val="21"/>
              </w:rPr>
            </w:pPr>
            <w:r>
              <w:rPr>
                <w:rFonts w:hint="eastAsia" w:ascii="宋体" w:hAnsi="宋体" w:eastAsia="宋体"/>
                <w:szCs w:val="21"/>
                <w:highlight w:val="none"/>
              </w:rPr>
              <w:t>成交服务费</w:t>
            </w:r>
          </w:p>
        </w:tc>
        <w:tc>
          <w:tcPr>
            <w:tcW w:w="5749" w:type="dxa"/>
            <w:vAlign w:val="center"/>
          </w:tcPr>
          <w:p w14:paraId="1876E643">
            <w:pPr>
              <w:rPr>
                <w:rFonts w:hint="eastAsia" w:ascii="宋体" w:hAnsi="宋体" w:eastAsia="宋体"/>
                <w:szCs w:val="21"/>
                <w:lang w:val="en-US" w:eastAsia="zh-CN"/>
              </w:rPr>
            </w:pPr>
            <w:r>
              <w:rPr>
                <w:rFonts w:hint="eastAsia" w:ascii="宋体" w:hAnsi="宋体" w:eastAsia="宋体"/>
                <w:szCs w:val="21"/>
                <w:lang w:val="en-US" w:eastAsia="zh-CN"/>
              </w:rPr>
              <w:t>（1）本项目成交服务费由中标供应商支付；</w:t>
            </w:r>
          </w:p>
          <w:p w14:paraId="59C6E33E">
            <w:pPr>
              <w:rPr>
                <w:rFonts w:ascii="宋体" w:hAnsi="宋体" w:eastAsia="宋体"/>
                <w:szCs w:val="21"/>
              </w:rPr>
            </w:pPr>
            <w:r>
              <w:rPr>
                <w:rFonts w:hint="eastAsia" w:ascii="宋体" w:hAnsi="宋体" w:eastAsia="宋体"/>
                <w:szCs w:val="21"/>
                <w:lang w:val="en-US" w:eastAsia="zh-CN"/>
              </w:rPr>
              <w:t>（2）支付标准：</w:t>
            </w:r>
            <w:r>
              <w:rPr>
                <w:rFonts w:hint="eastAsia" w:ascii="宋体" w:hAnsi="宋体" w:eastAsia="宋体"/>
                <w:szCs w:val="21"/>
              </w:rPr>
              <w:t>按湖北省招标代理服务收费参考标准（试行）</w:t>
            </w:r>
            <w:r>
              <w:rPr>
                <w:rFonts w:hint="eastAsia" w:ascii="宋体" w:hAnsi="宋体" w:eastAsia="宋体"/>
                <w:szCs w:val="21"/>
                <w:lang w:val="en-US" w:eastAsia="zh-CN"/>
              </w:rPr>
              <w:t>计取</w:t>
            </w:r>
            <w:r>
              <w:rPr>
                <w:rFonts w:hint="eastAsia" w:ascii="宋体" w:hAnsi="宋体" w:eastAsia="宋体"/>
                <w:szCs w:val="21"/>
              </w:rPr>
              <w:t>服务费。</w:t>
            </w:r>
          </w:p>
        </w:tc>
      </w:tr>
      <w:tr w14:paraId="6886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2" w:type="dxa"/>
            <w:vAlign w:val="center"/>
          </w:tcPr>
          <w:p w14:paraId="0575BD75">
            <w:pPr>
              <w:rPr>
                <w:rFonts w:ascii="宋体" w:hAnsi="宋体" w:eastAsia="宋体"/>
                <w:szCs w:val="21"/>
              </w:rPr>
            </w:pPr>
            <w:r>
              <w:rPr>
                <w:rFonts w:hint="eastAsia" w:ascii="宋体" w:hAnsi="宋体" w:eastAsia="宋体"/>
                <w:szCs w:val="21"/>
              </w:rPr>
              <w:t>6.2</w:t>
            </w:r>
          </w:p>
        </w:tc>
        <w:tc>
          <w:tcPr>
            <w:tcW w:w="2278" w:type="dxa"/>
            <w:vAlign w:val="center"/>
          </w:tcPr>
          <w:p w14:paraId="476A3F11">
            <w:pPr>
              <w:rPr>
                <w:rFonts w:ascii="宋体" w:hAnsi="宋体" w:eastAsia="宋体"/>
                <w:szCs w:val="21"/>
              </w:rPr>
            </w:pPr>
            <w:r>
              <w:rPr>
                <w:rFonts w:hint="eastAsia" w:ascii="宋体" w:hAnsi="宋体" w:eastAsia="宋体"/>
                <w:szCs w:val="21"/>
              </w:rPr>
              <w:t>提疑截止时间</w:t>
            </w:r>
          </w:p>
        </w:tc>
        <w:tc>
          <w:tcPr>
            <w:tcW w:w="5749" w:type="dxa"/>
            <w:vAlign w:val="center"/>
          </w:tcPr>
          <w:p w14:paraId="74318446">
            <w:pPr>
              <w:rPr>
                <w:rFonts w:ascii="宋体" w:hAnsi="宋体" w:eastAsia="宋体"/>
                <w:szCs w:val="21"/>
              </w:rPr>
            </w:pPr>
            <w:r>
              <w:rPr>
                <w:rFonts w:hint="eastAsia" w:ascii="宋体" w:hAnsi="宋体" w:eastAsia="宋体"/>
                <w:szCs w:val="21"/>
              </w:rPr>
              <w:t>响应文件递交截止时间前5天</w:t>
            </w:r>
          </w:p>
        </w:tc>
      </w:tr>
      <w:tr w14:paraId="339D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2" w:type="dxa"/>
            <w:vAlign w:val="center"/>
          </w:tcPr>
          <w:p w14:paraId="7AE9D235">
            <w:pPr>
              <w:rPr>
                <w:rFonts w:ascii="宋体" w:hAnsi="宋体" w:eastAsia="宋体"/>
                <w:szCs w:val="21"/>
              </w:rPr>
            </w:pPr>
            <w:r>
              <w:rPr>
                <w:rFonts w:hint="eastAsia" w:ascii="宋体" w:hAnsi="宋体" w:eastAsia="宋体"/>
                <w:szCs w:val="21"/>
              </w:rPr>
              <w:t>7.1</w:t>
            </w:r>
          </w:p>
        </w:tc>
        <w:tc>
          <w:tcPr>
            <w:tcW w:w="2278" w:type="dxa"/>
            <w:vAlign w:val="center"/>
          </w:tcPr>
          <w:p w14:paraId="4D09CF1E">
            <w:pPr>
              <w:rPr>
                <w:rFonts w:ascii="宋体" w:hAnsi="宋体" w:eastAsia="宋体"/>
                <w:szCs w:val="21"/>
              </w:rPr>
            </w:pPr>
            <w:r>
              <w:rPr>
                <w:rFonts w:hint="eastAsia" w:ascii="宋体" w:hAnsi="宋体" w:eastAsia="宋体"/>
                <w:szCs w:val="21"/>
              </w:rPr>
              <w:t>答疑方式及答疑时间</w:t>
            </w:r>
          </w:p>
        </w:tc>
        <w:tc>
          <w:tcPr>
            <w:tcW w:w="5749" w:type="dxa"/>
            <w:vAlign w:val="center"/>
          </w:tcPr>
          <w:p w14:paraId="60C73663">
            <w:pPr>
              <w:rPr>
                <w:rFonts w:ascii="宋体" w:hAnsi="宋体" w:eastAsia="宋体"/>
                <w:szCs w:val="21"/>
              </w:rPr>
            </w:pPr>
            <w:r>
              <w:rPr>
                <w:rFonts w:hint="eastAsia" w:ascii="宋体" w:hAnsi="宋体" w:eastAsia="宋体"/>
                <w:szCs w:val="21"/>
              </w:rPr>
              <w:t>响应文件递交截止时间前3天以书面形式发出</w:t>
            </w:r>
          </w:p>
        </w:tc>
      </w:tr>
      <w:tr w14:paraId="5906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2" w:type="dxa"/>
            <w:vAlign w:val="center"/>
          </w:tcPr>
          <w:p w14:paraId="78AA5FA5">
            <w:pPr>
              <w:rPr>
                <w:rFonts w:ascii="宋体" w:hAnsi="宋体" w:eastAsia="宋体"/>
                <w:szCs w:val="21"/>
              </w:rPr>
            </w:pPr>
            <w:r>
              <w:rPr>
                <w:rFonts w:hint="eastAsia" w:ascii="宋体" w:hAnsi="宋体" w:eastAsia="宋体"/>
                <w:szCs w:val="21"/>
              </w:rPr>
              <w:t>12.1</w:t>
            </w:r>
          </w:p>
        </w:tc>
        <w:tc>
          <w:tcPr>
            <w:tcW w:w="2278" w:type="dxa"/>
            <w:vAlign w:val="center"/>
          </w:tcPr>
          <w:p w14:paraId="1DF87039">
            <w:pPr>
              <w:rPr>
                <w:rFonts w:ascii="宋体" w:hAnsi="宋体" w:eastAsia="宋体"/>
                <w:szCs w:val="21"/>
              </w:rPr>
            </w:pPr>
            <w:r>
              <w:rPr>
                <w:rFonts w:hint="eastAsia" w:ascii="宋体" w:hAnsi="宋体" w:eastAsia="宋体"/>
                <w:szCs w:val="21"/>
              </w:rPr>
              <w:t>备选方案</w:t>
            </w:r>
          </w:p>
        </w:tc>
        <w:tc>
          <w:tcPr>
            <w:tcW w:w="5749" w:type="dxa"/>
            <w:vAlign w:val="center"/>
          </w:tcPr>
          <w:p w14:paraId="282B25B2">
            <w:pPr>
              <w:rPr>
                <w:rFonts w:ascii="宋体" w:hAnsi="宋体" w:eastAsia="宋体"/>
                <w:szCs w:val="21"/>
              </w:rPr>
            </w:pPr>
            <w:r>
              <w:rPr>
                <w:rFonts w:hint="eastAsia" w:ascii="宋体" w:hAnsi="宋体" w:eastAsia="宋体"/>
                <w:szCs w:val="21"/>
              </w:rPr>
              <w:t>本次采购不接受备选方案。</w:t>
            </w:r>
          </w:p>
        </w:tc>
      </w:tr>
      <w:tr w14:paraId="473F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2" w:type="dxa"/>
            <w:vAlign w:val="center"/>
          </w:tcPr>
          <w:p w14:paraId="5216018E">
            <w:pPr>
              <w:rPr>
                <w:rFonts w:ascii="宋体" w:hAnsi="宋体" w:eastAsia="宋体"/>
                <w:szCs w:val="21"/>
              </w:rPr>
            </w:pPr>
            <w:r>
              <w:rPr>
                <w:rFonts w:hint="eastAsia" w:ascii="宋体" w:hAnsi="宋体" w:eastAsia="宋体"/>
                <w:szCs w:val="21"/>
              </w:rPr>
              <w:t>13.1</w:t>
            </w:r>
          </w:p>
        </w:tc>
        <w:tc>
          <w:tcPr>
            <w:tcW w:w="2278" w:type="dxa"/>
            <w:vAlign w:val="center"/>
          </w:tcPr>
          <w:p w14:paraId="78B09E8B">
            <w:pPr>
              <w:rPr>
                <w:rFonts w:ascii="宋体" w:hAnsi="宋体" w:eastAsia="宋体"/>
                <w:szCs w:val="21"/>
              </w:rPr>
            </w:pPr>
            <w:r>
              <w:rPr>
                <w:rFonts w:hint="eastAsia" w:ascii="宋体" w:hAnsi="宋体" w:eastAsia="宋体"/>
                <w:szCs w:val="21"/>
              </w:rPr>
              <w:t>联合体磋商</w:t>
            </w:r>
          </w:p>
        </w:tc>
        <w:tc>
          <w:tcPr>
            <w:tcW w:w="5749" w:type="dxa"/>
            <w:vAlign w:val="center"/>
          </w:tcPr>
          <w:p w14:paraId="2E7C93B8">
            <w:pPr>
              <w:rPr>
                <w:rFonts w:ascii="宋体" w:hAnsi="宋体" w:eastAsia="宋体"/>
                <w:szCs w:val="21"/>
              </w:rPr>
            </w:pPr>
            <w:r>
              <w:rPr>
                <w:rFonts w:hint="eastAsia" w:ascii="宋体" w:hAnsi="宋体" w:eastAsia="宋体"/>
                <w:szCs w:val="21"/>
              </w:rPr>
              <w:t>本次采购不接受联合体报价。</w:t>
            </w:r>
          </w:p>
        </w:tc>
      </w:tr>
      <w:tr w14:paraId="0218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1" w:hRule="exact"/>
        </w:trPr>
        <w:tc>
          <w:tcPr>
            <w:tcW w:w="952" w:type="dxa"/>
            <w:vAlign w:val="center"/>
          </w:tcPr>
          <w:p w14:paraId="597BFE80">
            <w:pPr>
              <w:rPr>
                <w:rFonts w:ascii="宋体" w:hAnsi="宋体" w:eastAsia="宋体"/>
                <w:szCs w:val="21"/>
              </w:rPr>
            </w:pPr>
            <w:r>
              <w:rPr>
                <w:rFonts w:hint="eastAsia" w:ascii="宋体" w:hAnsi="宋体" w:eastAsia="宋体"/>
                <w:szCs w:val="21"/>
              </w:rPr>
              <w:t>14.1</w:t>
            </w:r>
          </w:p>
        </w:tc>
        <w:tc>
          <w:tcPr>
            <w:tcW w:w="2278" w:type="dxa"/>
            <w:vAlign w:val="center"/>
          </w:tcPr>
          <w:p w14:paraId="74232580">
            <w:pPr>
              <w:rPr>
                <w:rFonts w:ascii="宋体" w:hAnsi="宋体" w:eastAsia="宋体"/>
                <w:szCs w:val="21"/>
              </w:rPr>
            </w:pPr>
            <w:r>
              <w:rPr>
                <w:rFonts w:hint="eastAsia" w:ascii="宋体" w:hAnsi="宋体" w:eastAsia="宋体"/>
                <w:szCs w:val="21"/>
              </w:rPr>
              <w:t>应提交的其它资格证</w:t>
            </w:r>
          </w:p>
          <w:p w14:paraId="5F9D4DCD">
            <w:pPr>
              <w:rPr>
                <w:rFonts w:ascii="宋体" w:hAnsi="宋体" w:eastAsia="宋体"/>
                <w:szCs w:val="21"/>
              </w:rPr>
            </w:pPr>
            <w:r>
              <w:rPr>
                <w:rFonts w:hint="eastAsia" w:ascii="宋体" w:hAnsi="宋体" w:eastAsia="宋体"/>
                <w:szCs w:val="21"/>
              </w:rPr>
              <w:t>明文件</w:t>
            </w:r>
          </w:p>
        </w:tc>
        <w:tc>
          <w:tcPr>
            <w:tcW w:w="5749" w:type="dxa"/>
            <w:vAlign w:val="center"/>
          </w:tcPr>
          <w:p w14:paraId="45F66AF6">
            <w:pPr>
              <w:rPr>
                <w:rFonts w:ascii="宋体" w:hAnsi="宋体" w:eastAsia="宋体"/>
                <w:szCs w:val="21"/>
              </w:rPr>
            </w:pPr>
            <w:r>
              <w:rPr>
                <w:rFonts w:hint="eastAsia" w:ascii="宋体" w:hAnsi="宋体" w:eastAsia="宋体"/>
                <w:szCs w:val="21"/>
              </w:rPr>
              <w:t>1) 营业执照等证明文件；</w:t>
            </w:r>
          </w:p>
          <w:p w14:paraId="6A9CA550">
            <w:pPr>
              <w:rPr>
                <w:rFonts w:ascii="宋体" w:hAnsi="宋体" w:eastAsia="宋体"/>
                <w:szCs w:val="21"/>
              </w:rPr>
            </w:pPr>
            <w:r>
              <w:rPr>
                <w:rFonts w:hint="eastAsia" w:ascii="宋体" w:hAnsi="宋体" w:eastAsia="宋体"/>
                <w:szCs w:val="21"/>
              </w:rPr>
              <w:t>2) 财务状况的相关材料；</w:t>
            </w:r>
          </w:p>
          <w:p w14:paraId="02978A18">
            <w:pPr>
              <w:rPr>
                <w:rFonts w:ascii="宋体" w:hAnsi="宋体" w:eastAsia="宋体"/>
                <w:szCs w:val="21"/>
              </w:rPr>
            </w:pPr>
            <w:r>
              <w:rPr>
                <w:rFonts w:hint="eastAsia" w:ascii="宋体" w:hAnsi="宋体" w:eastAsia="宋体"/>
                <w:szCs w:val="21"/>
              </w:rPr>
              <w:t>3) 具备履行合同所必须的设备和专业技术能力的证明材料；</w:t>
            </w:r>
          </w:p>
          <w:p w14:paraId="2BFFA43F">
            <w:pPr>
              <w:rPr>
                <w:rFonts w:ascii="宋体" w:hAnsi="宋体" w:eastAsia="宋体"/>
                <w:szCs w:val="21"/>
              </w:rPr>
            </w:pPr>
            <w:r>
              <w:rPr>
                <w:rFonts w:hint="eastAsia" w:ascii="宋体" w:hAnsi="宋体" w:eastAsia="宋体"/>
                <w:szCs w:val="21"/>
              </w:rPr>
              <w:t>4) 具备法律、行政法规规定的其他条件的证明材料；</w:t>
            </w:r>
          </w:p>
          <w:p w14:paraId="2450CB76">
            <w:pPr>
              <w:rPr>
                <w:rFonts w:ascii="宋体" w:hAnsi="宋体" w:eastAsia="宋体"/>
                <w:szCs w:val="21"/>
              </w:rPr>
            </w:pPr>
            <w:r>
              <w:rPr>
                <w:rFonts w:hint="eastAsia" w:ascii="宋体" w:hAnsi="宋体" w:eastAsia="宋体"/>
                <w:szCs w:val="21"/>
              </w:rPr>
              <w:t>5) 符合本文件第一章第二条要求的证明资料。</w:t>
            </w:r>
          </w:p>
          <w:p w14:paraId="435F8FD1">
            <w:pPr>
              <w:rPr>
                <w:rFonts w:ascii="宋体" w:hAnsi="宋体" w:eastAsia="宋体"/>
                <w:szCs w:val="21"/>
              </w:rPr>
            </w:pPr>
            <w:r>
              <w:rPr>
                <w:rFonts w:hint="eastAsia" w:ascii="宋体" w:hAnsi="宋体" w:eastAsia="宋体"/>
                <w:szCs w:val="21"/>
              </w:rPr>
              <w:t>所有证书、证明文件包括按要求提供的官网截图必须是真实可查证的。资格证明</w:t>
            </w:r>
            <w:r>
              <w:rPr>
                <w:rFonts w:hint="eastAsia" w:ascii="宋体" w:hAnsi="宋体" w:eastAsia="宋体"/>
                <w:szCs w:val="21"/>
                <w:lang w:eastAsia="zh-CN"/>
              </w:rPr>
              <w:t>材料</w:t>
            </w:r>
            <w:r>
              <w:rPr>
                <w:rFonts w:hint="eastAsia" w:ascii="宋体" w:hAnsi="宋体" w:eastAsia="宋体"/>
                <w:szCs w:val="21"/>
              </w:rPr>
              <w:t>均需附有原件的扫描件或复印件，证明材料仅限于投标单位本身，参股或控股单位及独立法人子公司的材料不能作为证明材料，但投标单位兼并的企业的材料可作为证明材料。</w:t>
            </w:r>
          </w:p>
          <w:p w14:paraId="7DE21495">
            <w:pPr>
              <w:rPr>
                <w:rFonts w:ascii="宋体" w:hAnsi="宋体" w:eastAsia="宋体"/>
                <w:szCs w:val="21"/>
              </w:rPr>
            </w:pPr>
            <w:r>
              <w:rPr>
                <w:rFonts w:hint="eastAsia" w:ascii="宋体" w:hAnsi="宋体" w:eastAsia="宋体"/>
                <w:szCs w:val="21"/>
              </w:rPr>
              <w:t>副本可用正本的复印件。所有证明材料须清晰可辨认，如因证明材料模糊无法辨认，缺页、漏页导致无法进行评审认定的责任由供应商自负。如发现弄虚作假将按照有关规定严肃处理。</w:t>
            </w:r>
          </w:p>
        </w:tc>
      </w:tr>
      <w:tr w14:paraId="7872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exact"/>
        </w:trPr>
        <w:tc>
          <w:tcPr>
            <w:tcW w:w="952" w:type="dxa"/>
            <w:vAlign w:val="center"/>
          </w:tcPr>
          <w:p w14:paraId="09FC4ECA">
            <w:pPr>
              <w:rPr>
                <w:rFonts w:ascii="宋体" w:hAnsi="宋体" w:eastAsia="宋体"/>
                <w:szCs w:val="21"/>
              </w:rPr>
            </w:pPr>
            <w:r>
              <w:rPr>
                <w:rFonts w:hint="eastAsia" w:ascii="宋体" w:hAnsi="宋体" w:eastAsia="宋体"/>
                <w:szCs w:val="21"/>
              </w:rPr>
              <w:t>15.1</w:t>
            </w:r>
          </w:p>
        </w:tc>
        <w:tc>
          <w:tcPr>
            <w:tcW w:w="2278" w:type="dxa"/>
            <w:vAlign w:val="center"/>
          </w:tcPr>
          <w:p w14:paraId="75BC23DE">
            <w:pPr>
              <w:rPr>
                <w:rFonts w:ascii="宋体" w:hAnsi="宋体" w:eastAsia="宋体"/>
                <w:szCs w:val="21"/>
              </w:rPr>
            </w:pPr>
            <w:r>
              <w:rPr>
                <w:rFonts w:hint="eastAsia" w:ascii="宋体" w:hAnsi="宋体" w:eastAsia="宋体"/>
                <w:szCs w:val="21"/>
              </w:rPr>
              <w:t>证明响应内容符合竞</w:t>
            </w:r>
          </w:p>
          <w:p w14:paraId="7343FF4D">
            <w:pPr>
              <w:rPr>
                <w:rFonts w:ascii="宋体" w:hAnsi="宋体" w:eastAsia="宋体"/>
                <w:szCs w:val="21"/>
              </w:rPr>
            </w:pPr>
            <w:r>
              <w:rPr>
                <w:rFonts w:hint="eastAsia" w:ascii="宋体" w:hAnsi="宋体" w:eastAsia="宋体"/>
                <w:szCs w:val="21"/>
              </w:rPr>
              <w:t>争性磋商采购文件要</w:t>
            </w:r>
          </w:p>
          <w:p w14:paraId="7D91B054">
            <w:pPr>
              <w:rPr>
                <w:rFonts w:ascii="宋体" w:hAnsi="宋体" w:eastAsia="宋体"/>
                <w:szCs w:val="21"/>
              </w:rPr>
            </w:pPr>
            <w:r>
              <w:rPr>
                <w:rFonts w:hint="eastAsia" w:ascii="宋体" w:hAnsi="宋体" w:eastAsia="宋体"/>
                <w:szCs w:val="21"/>
              </w:rPr>
              <w:t>求的文件和竞争性磋</w:t>
            </w:r>
          </w:p>
          <w:p w14:paraId="652FCC0D">
            <w:pPr>
              <w:rPr>
                <w:rFonts w:ascii="宋体" w:hAnsi="宋体" w:eastAsia="宋体"/>
                <w:szCs w:val="21"/>
              </w:rPr>
            </w:pPr>
            <w:r>
              <w:rPr>
                <w:rFonts w:hint="eastAsia" w:ascii="宋体" w:hAnsi="宋体" w:eastAsia="宋体"/>
                <w:szCs w:val="21"/>
              </w:rPr>
              <w:t>商采购文件规定的其</w:t>
            </w:r>
          </w:p>
          <w:p w14:paraId="207EBEEC">
            <w:pPr>
              <w:rPr>
                <w:rFonts w:ascii="宋体" w:hAnsi="宋体" w:eastAsia="宋体"/>
                <w:szCs w:val="21"/>
              </w:rPr>
            </w:pPr>
            <w:r>
              <w:rPr>
                <w:rFonts w:hint="eastAsia" w:ascii="宋体" w:hAnsi="宋体" w:eastAsia="宋体"/>
                <w:szCs w:val="21"/>
              </w:rPr>
              <w:t>他资料</w:t>
            </w:r>
          </w:p>
        </w:tc>
        <w:tc>
          <w:tcPr>
            <w:tcW w:w="5749" w:type="dxa"/>
            <w:vAlign w:val="center"/>
          </w:tcPr>
          <w:p w14:paraId="4AC4FBA7">
            <w:pPr>
              <w:rPr>
                <w:rFonts w:ascii="宋体" w:hAnsi="宋体" w:eastAsia="宋体"/>
                <w:szCs w:val="21"/>
              </w:rPr>
            </w:pPr>
            <w:r>
              <w:rPr>
                <w:rFonts w:hint="eastAsia" w:ascii="宋体" w:hAnsi="宋体" w:eastAsia="宋体"/>
                <w:szCs w:val="21"/>
              </w:rPr>
              <w:t>详见第六章中《与本次磋商有关的技术文件》相关内容</w:t>
            </w:r>
          </w:p>
        </w:tc>
      </w:tr>
      <w:tr w14:paraId="5EA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52" w:type="dxa"/>
            <w:vAlign w:val="center"/>
          </w:tcPr>
          <w:p w14:paraId="0818E8CF">
            <w:pPr>
              <w:jc w:val="left"/>
              <w:rPr>
                <w:rFonts w:ascii="宋体" w:hAnsi="宋体" w:eastAsia="宋体"/>
                <w:szCs w:val="21"/>
              </w:rPr>
            </w:pPr>
            <w:r>
              <w:rPr>
                <w:rFonts w:hint="eastAsia" w:ascii="宋体" w:hAnsi="宋体" w:eastAsia="宋体"/>
                <w:szCs w:val="21"/>
              </w:rPr>
              <w:t>16</w:t>
            </w:r>
          </w:p>
        </w:tc>
        <w:tc>
          <w:tcPr>
            <w:tcW w:w="2278" w:type="dxa"/>
            <w:vAlign w:val="center"/>
          </w:tcPr>
          <w:p w14:paraId="541118AA">
            <w:pPr>
              <w:rPr>
                <w:rFonts w:ascii="宋体" w:hAnsi="宋体" w:eastAsia="宋体"/>
                <w:szCs w:val="21"/>
              </w:rPr>
            </w:pPr>
            <w:r>
              <w:rPr>
                <w:rFonts w:hint="eastAsia" w:ascii="宋体" w:hAnsi="宋体" w:eastAsia="宋体"/>
                <w:szCs w:val="21"/>
              </w:rPr>
              <w:t>磋商保证金</w:t>
            </w:r>
          </w:p>
        </w:tc>
        <w:tc>
          <w:tcPr>
            <w:tcW w:w="5749" w:type="dxa"/>
            <w:vAlign w:val="center"/>
          </w:tcPr>
          <w:p w14:paraId="688B0B34">
            <w:pPr>
              <w:rPr>
                <w:rFonts w:ascii="宋体" w:hAnsi="宋体" w:eastAsia="宋体"/>
                <w:szCs w:val="21"/>
              </w:rPr>
            </w:pPr>
            <w:r>
              <w:rPr>
                <w:rFonts w:hint="eastAsia" w:ascii="宋体" w:hAnsi="宋体" w:eastAsia="宋体"/>
                <w:szCs w:val="21"/>
              </w:rPr>
              <w:t>本项目无须提交</w:t>
            </w:r>
          </w:p>
        </w:tc>
      </w:tr>
      <w:tr w14:paraId="73DD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52" w:type="dxa"/>
            <w:vAlign w:val="center"/>
          </w:tcPr>
          <w:p w14:paraId="4129B870">
            <w:pPr>
              <w:rPr>
                <w:rFonts w:ascii="宋体" w:hAnsi="宋体" w:eastAsia="宋体"/>
                <w:szCs w:val="21"/>
              </w:rPr>
            </w:pPr>
            <w:r>
              <w:rPr>
                <w:rFonts w:hint="eastAsia" w:ascii="宋体" w:hAnsi="宋体" w:eastAsia="宋体"/>
                <w:szCs w:val="21"/>
              </w:rPr>
              <w:t>17.1</w:t>
            </w:r>
          </w:p>
        </w:tc>
        <w:tc>
          <w:tcPr>
            <w:tcW w:w="2278" w:type="dxa"/>
            <w:vAlign w:val="center"/>
          </w:tcPr>
          <w:p w14:paraId="4692D0EF">
            <w:pPr>
              <w:rPr>
                <w:rFonts w:ascii="宋体" w:hAnsi="宋体" w:eastAsia="宋体"/>
                <w:szCs w:val="21"/>
              </w:rPr>
            </w:pPr>
            <w:r>
              <w:rPr>
                <w:rFonts w:hint="eastAsia" w:ascii="宋体" w:hAnsi="宋体" w:eastAsia="宋体"/>
                <w:szCs w:val="21"/>
              </w:rPr>
              <w:t>磋商有效期</w:t>
            </w:r>
          </w:p>
        </w:tc>
        <w:tc>
          <w:tcPr>
            <w:tcW w:w="5749" w:type="dxa"/>
            <w:vAlign w:val="center"/>
          </w:tcPr>
          <w:p w14:paraId="4CBA1523">
            <w:pPr>
              <w:spacing w:line="320" w:lineRule="exact"/>
              <w:rPr>
                <w:rFonts w:ascii="宋体" w:hAnsi="宋体" w:cs="宋体"/>
                <w:bCs/>
                <w:szCs w:val="21"/>
              </w:rPr>
            </w:pPr>
            <w:r>
              <w:rPr>
                <w:rFonts w:hint="eastAsia" w:ascii="宋体" w:hAnsi="宋体" w:cs="宋体"/>
                <w:bCs/>
                <w:szCs w:val="21"/>
                <w:lang w:val="en-US" w:eastAsia="zh-CN"/>
              </w:rPr>
              <w:t>90</w:t>
            </w:r>
            <w:r>
              <w:rPr>
                <w:rFonts w:hint="eastAsia" w:ascii="宋体" w:hAnsi="宋体" w:cs="宋体"/>
                <w:bCs/>
                <w:szCs w:val="21"/>
              </w:rPr>
              <w:t>日历天</w:t>
            </w:r>
          </w:p>
        </w:tc>
      </w:tr>
      <w:tr w14:paraId="23A4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952" w:type="dxa"/>
            <w:vAlign w:val="center"/>
          </w:tcPr>
          <w:p w14:paraId="5E3E34A3">
            <w:pPr>
              <w:rPr>
                <w:rFonts w:ascii="宋体" w:hAnsi="宋体" w:eastAsia="宋体"/>
                <w:szCs w:val="21"/>
              </w:rPr>
            </w:pPr>
            <w:r>
              <w:rPr>
                <w:rFonts w:hint="eastAsia" w:ascii="宋体" w:hAnsi="宋体" w:eastAsia="宋体"/>
                <w:szCs w:val="21"/>
              </w:rPr>
              <w:t>18.1</w:t>
            </w:r>
          </w:p>
        </w:tc>
        <w:tc>
          <w:tcPr>
            <w:tcW w:w="2278" w:type="dxa"/>
            <w:vAlign w:val="center"/>
          </w:tcPr>
          <w:p w14:paraId="519367BA">
            <w:pPr>
              <w:rPr>
                <w:rFonts w:ascii="宋体" w:hAnsi="宋体" w:eastAsia="宋体"/>
                <w:szCs w:val="21"/>
              </w:rPr>
            </w:pPr>
            <w:r>
              <w:rPr>
                <w:rFonts w:hint="eastAsia" w:ascii="宋体" w:hAnsi="宋体" w:eastAsia="宋体"/>
                <w:szCs w:val="21"/>
              </w:rPr>
              <w:t>竞争性磋商响应文件</w:t>
            </w:r>
          </w:p>
          <w:p w14:paraId="3C120B95">
            <w:pPr>
              <w:rPr>
                <w:rFonts w:ascii="宋体" w:hAnsi="宋体" w:eastAsia="宋体"/>
                <w:szCs w:val="21"/>
              </w:rPr>
            </w:pPr>
            <w:r>
              <w:rPr>
                <w:rFonts w:hint="eastAsia" w:ascii="宋体" w:hAnsi="宋体" w:eastAsia="宋体"/>
                <w:szCs w:val="21"/>
              </w:rPr>
              <w:t>正、副本数量</w:t>
            </w:r>
          </w:p>
        </w:tc>
        <w:tc>
          <w:tcPr>
            <w:tcW w:w="5749" w:type="dxa"/>
            <w:vAlign w:val="center"/>
          </w:tcPr>
          <w:p w14:paraId="0AEAF932">
            <w:pPr>
              <w:spacing w:line="320" w:lineRule="exact"/>
              <w:rPr>
                <w:rFonts w:ascii="宋体" w:hAnsi="宋体" w:cs="宋体"/>
                <w:bCs/>
                <w:szCs w:val="21"/>
              </w:rPr>
            </w:pPr>
            <w:r>
              <w:rPr>
                <w:rFonts w:hint="eastAsia" w:ascii="宋体" w:hAnsi="宋体" w:cs="宋体"/>
                <w:bCs/>
                <w:szCs w:val="21"/>
              </w:rPr>
              <w:t>本次采购项目响应文件正本1份，副本</w:t>
            </w:r>
            <w:r>
              <w:rPr>
                <w:rFonts w:hint="eastAsia" w:ascii="宋体" w:hAnsi="宋体" w:cs="宋体"/>
                <w:bCs/>
                <w:szCs w:val="21"/>
                <w:lang w:val="en-US" w:eastAsia="zh-CN"/>
              </w:rPr>
              <w:t>2</w:t>
            </w:r>
            <w:r>
              <w:rPr>
                <w:rFonts w:hint="eastAsia" w:ascii="宋体" w:hAnsi="宋体" w:cs="宋体"/>
                <w:bCs/>
                <w:szCs w:val="21"/>
              </w:rPr>
              <w:t>份，所有响应文件概不退还。</w:t>
            </w:r>
          </w:p>
        </w:tc>
      </w:tr>
      <w:tr w14:paraId="6FC3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952" w:type="dxa"/>
            <w:vAlign w:val="center"/>
          </w:tcPr>
          <w:p w14:paraId="2C71CE76">
            <w:pPr>
              <w:rPr>
                <w:rFonts w:ascii="宋体" w:hAnsi="宋体" w:eastAsia="宋体"/>
                <w:szCs w:val="21"/>
              </w:rPr>
            </w:pPr>
            <w:r>
              <w:rPr>
                <w:rFonts w:hint="eastAsia" w:ascii="宋体" w:hAnsi="宋体" w:eastAsia="宋体"/>
                <w:szCs w:val="21"/>
              </w:rPr>
              <w:t>20.1</w:t>
            </w:r>
          </w:p>
        </w:tc>
        <w:tc>
          <w:tcPr>
            <w:tcW w:w="2278" w:type="dxa"/>
            <w:vAlign w:val="center"/>
          </w:tcPr>
          <w:p w14:paraId="44C35AEE">
            <w:pPr>
              <w:rPr>
                <w:rFonts w:ascii="宋体" w:hAnsi="宋体" w:eastAsia="宋体"/>
                <w:szCs w:val="21"/>
              </w:rPr>
            </w:pPr>
            <w:r>
              <w:rPr>
                <w:rFonts w:hint="eastAsia" w:ascii="宋体" w:hAnsi="宋体" w:eastAsia="宋体"/>
                <w:szCs w:val="21"/>
              </w:rPr>
              <w:t>竞争性磋商响应文件</w:t>
            </w:r>
          </w:p>
          <w:p w14:paraId="3DF5E73B">
            <w:pPr>
              <w:rPr>
                <w:rFonts w:ascii="宋体" w:hAnsi="宋体" w:eastAsia="宋体"/>
                <w:szCs w:val="21"/>
              </w:rPr>
            </w:pPr>
            <w:r>
              <w:rPr>
                <w:rFonts w:hint="eastAsia" w:ascii="宋体" w:hAnsi="宋体" w:eastAsia="宋体"/>
                <w:szCs w:val="21"/>
              </w:rPr>
              <w:t>送达地点及递交截止</w:t>
            </w:r>
          </w:p>
          <w:p w14:paraId="6D86EED2">
            <w:pPr>
              <w:rPr>
                <w:rFonts w:ascii="宋体" w:hAnsi="宋体" w:eastAsia="宋体"/>
                <w:szCs w:val="21"/>
              </w:rPr>
            </w:pPr>
            <w:r>
              <w:rPr>
                <w:rFonts w:hint="eastAsia" w:ascii="宋体" w:hAnsi="宋体" w:eastAsia="宋体"/>
                <w:szCs w:val="21"/>
              </w:rPr>
              <w:t>时间</w:t>
            </w:r>
          </w:p>
        </w:tc>
        <w:tc>
          <w:tcPr>
            <w:tcW w:w="5749" w:type="dxa"/>
            <w:vAlign w:val="center"/>
          </w:tcPr>
          <w:p w14:paraId="269C26AA">
            <w:pPr>
              <w:spacing w:line="320" w:lineRule="exact"/>
              <w:rPr>
                <w:rFonts w:ascii="宋体" w:hAnsi="宋体" w:eastAsia="宋体" w:cs="宋体"/>
                <w:bCs/>
                <w:szCs w:val="21"/>
              </w:rPr>
            </w:pPr>
            <w:r>
              <w:rPr>
                <w:rFonts w:hint="eastAsia" w:ascii="宋体" w:hAnsi="宋体" w:cs="宋体"/>
                <w:bCs/>
                <w:szCs w:val="21"/>
              </w:rPr>
              <w:t>磋商响应文件送达地点：</w:t>
            </w:r>
            <w:r>
              <w:rPr>
                <w:rFonts w:hint="eastAsia"/>
              </w:rPr>
              <w:t>详见磋商公告</w:t>
            </w:r>
          </w:p>
          <w:p w14:paraId="70F85F5D">
            <w:pPr>
              <w:spacing w:line="320" w:lineRule="exact"/>
              <w:rPr>
                <w:rFonts w:ascii="宋体" w:hAnsi="宋体" w:cs="宋体"/>
                <w:bCs/>
                <w:szCs w:val="21"/>
              </w:rPr>
            </w:pPr>
            <w:r>
              <w:rPr>
                <w:rFonts w:hint="eastAsia" w:ascii="宋体" w:hAnsi="宋体" w:eastAsia="宋体" w:cs="宋体"/>
                <w:bCs/>
                <w:szCs w:val="21"/>
                <w:lang w:val="zh-CN"/>
              </w:rPr>
              <w:t>磋商响应文件递交截止时间：</w:t>
            </w:r>
            <w:r>
              <w:rPr>
                <w:rFonts w:hint="eastAsia" w:ascii="宋体" w:hAnsi="宋体" w:eastAsia="宋体" w:cs="宋体"/>
                <w:bCs/>
                <w:szCs w:val="21"/>
              </w:rPr>
              <w:t>详见磋商公告</w:t>
            </w:r>
          </w:p>
        </w:tc>
      </w:tr>
      <w:tr w14:paraId="3720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952" w:type="dxa"/>
            <w:vAlign w:val="center"/>
          </w:tcPr>
          <w:p w14:paraId="71C49228">
            <w:pPr>
              <w:rPr>
                <w:rFonts w:ascii="宋体" w:hAnsi="宋体" w:eastAsia="宋体"/>
                <w:szCs w:val="21"/>
              </w:rPr>
            </w:pPr>
            <w:r>
              <w:rPr>
                <w:rFonts w:hint="eastAsia" w:ascii="宋体" w:hAnsi="宋体" w:eastAsia="宋体"/>
                <w:szCs w:val="21"/>
              </w:rPr>
              <w:t>23.1</w:t>
            </w:r>
          </w:p>
        </w:tc>
        <w:tc>
          <w:tcPr>
            <w:tcW w:w="2278" w:type="dxa"/>
            <w:vAlign w:val="center"/>
          </w:tcPr>
          <w:p w14:paraId="48352794">
            <w:pPr>
              <w:rPr>
                <w:rFonts w:ascii="宋体" w:hAnsi="宋体" w:eastAsia="宋体"/>
                <w:szCs w:val="21"/>
                <w:highlight w:val="none"/>
              </w:rPr>
            </w:pPr>
            <w:r>
              <w:rPr>
                <w:rFonts w:hint="eastAsia" w:ascii="宋体" w:hAnsi="宋体" w:eastAsia="宋体"/>
                <w:szCs w:val="21"/>
                <w:highlight w:val="none"/>
              </w:rPr>
              <w:t>磋商小组人数</w:t>
            </w:r>
          </w:p>
        </w:tc>
        <w:tc>
          <w:tcPr>
            <w:tcW w:w="5749" w:type="dxa"/>
            <w:vAlign w:val="center"/>
          </w:tcPr>
          <w:p w14:paraId="754B9108">
            <w:pPr>
              <w:spacing w:line="320" w:lineRule="exact"/>
              <w:rPr>
                <w:rFonts w:ascii="宋体" w:hAnsi="宋体" w:cs="宋体"/>
                <w:bCs/>
                <w:szCs w:val="21"/>
                <w:highlight w:val="none"/>
              </w:rPr>
            </w:pPr>
            <w:r>
              <w:rPr>
                <w:rFonts w:hint="eastAsia" w:ascii="宋体" w:hAnsi="宋体" w:cs="宋体"/>
                <w:bCs/>
                <w:color w:val="auto"/>
                <w:szCs w:val="21"/>
                <w:highlight w:val="none"/>
                <w:lang w:eastAsia="zh-CN"/>
              </w:rPr>
              <w:t>磋商小组共</w:t>
            </w:r>
            <w:r>
              <w:rPr>
                <w:rFonts w:hint="eastAsia" w:ascii="宋体" w:hAnsi="宋体" w:cs="宋体"/>
                <w:bCs/>
                <w:color w:val="auto"/>
                <w:szCs w:val="21"/>
                <w:highlight w:val="none"/>
              </w:rPr>
              <w:t>3人</w:t>
            </w:r>
            <w:r>
              <w:rPr>
                <w:rFonts w:hint="eastAsia" w:ascii="宋体" w:hAnsi="宋体" w:cs="宋体"/>
                <w:bCs/>
                <w:color w:val="auto"/>
                <w:szCs w:val="21"/>
                <w:highlight w:val="none"/>
                <w:lang w:eastAsia="zh-CN"/>
              </w:rPr>
              <w:t>，其中采购人代表</w:t>
            </w:r>
            <w:r>
              <w:rPr>
                <w:rFonts w:hint="eastAsia" w:ascii="宋体" w:hAnsi="宋体" w:cs="宋体"/>
                <w:bCs/>
                <w:color w:val="auto"/>
                <w:szCs w:val="21"/>
                <w:highlight w:val="none"/>
                <w:lang w:val="en-US" w:eastAsia="zh-CN"/>
              </w:rPr>
              <w:t>1人，其余2人</w:t>
            </w:r>
            <w:r>
              <w:rPr>
                <w:rFonts w:hint="eastAsia" w:ascii="宋体" w:hAnsi="宋体" w:cs="宋体"/>
                <w:bCs/>
                <w:color w:val="auto"/>
                <w:szCs w:val="21"/>
                <w:highlight w:val="none"/>
              </w:rPr>
              <w:t>从湖北省政府采购专家库中随机抽取。</w:t>
            </w:r>
          </w:p>
        </w:tc>
      </w:tr>
      <w:tr w14:paraId="2065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exact"/>
        </w:trPr>
        <w:tc>
          <w:tcPr>
            <w:tcW w:w="952" w:type="dxa"/>
            <w:vAlign w:val="center"/>
          </w:tcPr>
          <w:p w14:paraId="01B0267D">
            <w:pPr>
              <w:rPr>
                <w:rFonts w:ascii="宋体" w:hAnsi="宋体" w:eastAsia="宋体"/>
                <w:szCs w:val="21"/>
              </w:rPr>
            </w:pPr>
            <w:r>
              <w:rPr>
                <w:rFonts w:hint="eastAsia" w:ascii="宋体" w:hAnsi="宋体" w:eastAsia="宋体"/>
                <w:szCs w:val="21"/>
              </w:rPr>
              <w:t>26.4</w:t>
            </w:r>
          </w:p>
        </w:tc>
        <w:tc>
          <w:tcPr>
            <w:tcW w:w="2278" w:type="dxa"/>
            <w:vAlign w:val="center"/>
          </w:tcPr>
          <w:p w14:paraId="3EAAA825">
            <w:pPr>
              <w:rPr>
                <w:rFonts w:ascii="宋体" w:hAnsi="宋体" w:eastAsia="宋体"/>
                <w:szCs w:val="21"/>
              </w:rPr>
            </w:pPr>
            <w:r>
              <w:rPr>
                <w:rFonts w:hint="eastAsia" w:ascii="宋体" w:hAnsi="宋体" w:eastAsia="宋体"/>
                <w:szCs w:val="21"/>
              </w:rPr>
              <w:t>提交最后报价供应商</w:t>
            </w:r>
          </w:p>
          <w:p w14:paraId="60306A0C">
            <w:pPr>
              <w:rPr>
                <w:rFonts w:ascii="宋体" w:hAnsi="宋体" w:eastAsia="宋体"/>
                <w:szCs w:val="21"/>
              </w:rPr>
            </w:pPr>
            <w:r>
              <w:rPr>
                <w:rFonts w:hint="eastAsia" w:ascii="宋体" w:hAnsi="宋体" w:eastAsia="宋体"/>
                <w:szCs w:val="21"/>
              </w:rPr>
              <w:t>的确定方式</w:t>
            </w:r>
          </w:p>
        </w:tc>
        <w:tc>
          <w:tcPr>
            <w:tcW w:w="5749" w:type="dxa"/>
            <w:vAlign w:val="center"/>
          </w:tcPr>
          <w:p w14:paraId="07479BBE">
            <w:pPr>
              <w:spacing w:line="320" w:lineRule="exact"/>
              <w:rPr>
                <w:rFonts w:ascii="宋体" w:hAnsi="宋体" w:cs="宋体"/>
                <w:bCs/>
                <w:szCs w:val="21"/>
              </w:rPr>
            </w:pPr>
            <w:r>
              <w:rPr>
                <w:rFonts w:hint="eastAsia" w:ascii="宋体" w:hAnsi="宋体" w:cs="宋体"/>
                <w:bCs/>
                <w:szCs w:val="21"/>
              </w:rPr>
              <w:t>采购代理机构将已确定条件的最后报价书发放至所有通过了资格审查及符合性审查的磋商供应商，磋商供应商应在指定的时间内提交满足要求的最后报价，密封递交磋商小组。</w:t>
            </w:r>
          </w:p>
        </w:tc>
      </w:tr>
      <w:tr w14:paraId="3C7C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952" w:type="dxa"/>
            <w:vAlign w:val="center"/>
          </w:tcPr>
          <w:p w14:paraId="6AC116EA">
            <w:pPr>
              <w:rPr>
                <w:rFonts w:ascii="宋体" w:hAnsi="宋体" w:eastAsia="宋体" w:cs="宋体"/>
                <w:kern w:val="2"/>
                <w:sz w:val="21"/>
                <w:szCs w:val="21"/>
                <w:lang w:val="en-US" w:eastAsia="zh-CN" w:bidi="ar-SA"/>
              </w:rPr>
            </w:pPr>
            <w:r>
              <w:rPr>
                <w:rFonts w:hint="eastAsia" w:ascii="宋体" w:hAnsi="宋体" w:eastAsia="宋体" w:cs="宋体"/>
                <w:szCs w:val="21"/>
              </w:rPr>
              <w:t>27.1</w:t>
            </w:r>
          </w:p>
        </w:tc>
        <w:tc>
          <w:tcPr>
            <w:tcW w:w="2278" w:type="dxa"/>
            <w:vAlign w:val="center"/>
          </w:tcPr>
          <w:p w14:paraId="7DAEB7E8">
            <w:pPr>
              <w:rPr>
                <w:rFonts w:ascii="宋体" w:hAnsi="宋体" w:eastAsia="宋体" w:cs="宋体"/>
                <w:kern w:val="2"/>
                <w:sz w:val="21"/>
                <w:szCs w:val="21"/>
                <w:lang w:val="en-US" w:eastAsia="zh-CN" w:bidi="ar-SA"/>
              </w:rPr>
            </w:pPr>
            <w:r>
              <w:rPr>
                <w:rFonts w:hint="eastAsia" w:ascii="宋体" w:hAnsi="宋体" w:eastAsia="宋体" w:cs="宋体"/>
                <w:szCs w:val="21"/>
              </w:rPr>
              <w:t>履约保证金</w:t>
            </w:r>
          </w:p>
        </w:tc>
        <w:tc>
          <w:tcPr>
            <w:tcW w:w="5749" w:type="dxa"/>
            <w:vAlign w:val="center"/>
          </w:tcPr>
          <w:p w14:paraId="152A55EF">
            <w:pPr>
              <w:spacing w:line="320" w:lineRule="exact"/>
              <w:rPr>
                <w:rFonts w:ascii="宋体" w:hAnsi="宋体" w:eastAsia="宋体" w:cs="宋体"/>
                <w:bCs/>
                <w:kern w:val="2"/>
                <w:sz w:val="21"/>
                <w:szCs w:val="21"/>
                <w:lang w:val="en-US" w:eastAsia="zh-CN" w:bidi="ar-SA"/>
              </w:rPr>
            </w:pPr>
            <w:r>
              <w:rPr>
                <w:rFonts w:hint="eastAsia" w:ascii="宋体" w:hAnsi="宋体" w:eastAsia="宋体" w:cs="宋体"/>
                <w:bCs/>
                <w:szCs w:val="21"/>
              </w:rPr>
              <w:t>签订合同时详细约定</w:t>
            </w:r>
          </w:p>
        </w:tc>
      </w:tr>
      <w:tr w14:paraId="499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7" w:hRule="exact"/>
        </w:trPr>
        <w:tc>
          <w:tcPr>
            <w:tcW w:w="952" w:type="dxa"/>
            <w:vAlign w:val="center"/>
          </w:tcPr>
          <w:p w14:paraId="72EDF4AE">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九</w:t>
            </w:r>
          </w:p>
        </w:tc>
        <w:tc>
          <w:tcPr>
            <w:tcW w:w="2278" w:type="dxa"/>
            <w:vAlign w:val="center"/>
          </w:tcPr>
          <w:p w14:paraId="1C74503B">
            <w:pPr>
              <w:spacing w:line="32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支持</w:t>
            </w:r>
            <w:r>
              <w:rPr>
                <w:rFonts w:hint="eastAsia" w:ascii="宋体" w:hAnsi="宋体" w:eastAsia="宋体" w:cs="宋体"/>
                <w:szCs w:val="21"/>
              </w:rPr>
              <w:t>中小微企业</w:t>
            </w:r>
            <w:r>
              <w:rPr>
                <w:rFonts w:hint="eastAsia" w:ascii="宋体" w:hAnsi="宋体" w:eastAsia="宋体" w:cs="宋体"/>
                <w:szCs w:val="21"/>
                <w:lang w:val="en-US" w:eastAsia="zh-CN"/>
              </w:rPr>
              <w:t>政策</w:t>
            </w:r>
          </w:p>
          <w:p w14:paraId="3E0BAC37">
            <w:pPr>
              <w:spacing w:line="320" w:lineRule="exact"/>
              <w:rPr>
                <w:rFonts w:hint="eastAsia" w:ascii="宋体" w:hAnsi="宋体" w:eastAsia="宋体" w:cs="宋体"/>
                <w:kern w:val="2"/>
                <w:sz w:val="21"/>
                <w:szCs w:val="21"/>
                <w:lang w:val="en-US" w:eastAsia="zh-CN" w:bidi="ar-SA"/>
              </w:rPr>
            </w:pPr>
          </w:p>
        </w:tc>
        <w:tc>
          <w:tcPr>
            <w:tcW w:w="5749" w:type="dxa"/>
            <w:vAlign w:val="center"/>
          </w:tcPr>
          <w:p w14:paraId="57F61FD0">
            <w:pPr>
              <w:pStyle w:val="53"/>
            </w:pPr>
            <w:r>
              <w:rPr/>
              <w:sym w:font="Wingdings" w:char="F0A8"/>
            </w:r>
            <w:r>
              <w:rPr>
                <w:rFonts w:hint="eastAsia"/>
              </w:rPr>
              <w:t>非专门面向中小企业的项目</w:t>
            </w:r>
          </w:p>
          <w:p w14:paraId="6BDDBE15">
            <w:pPr>
              <w:pStyle w:val="53"/>
            </w:pPr>
            <w:r>
              <w:rPr>
                <w:rFonts w:hint="eastAsia"/>
              </w:rPr>
              <w:t>1.对于未预留份额专门面向中小企业采购的采购项目，以及预留份额项目中的非预留部分采购包，对小微企业报价给予比例扣除，价格扣除比例为：</w:t>
            </w:r>
            <w:r>
              <w:rPr>
                <w:rFonts w:hint="eastAsia"/>
                <w:u w:val="single"/>
              </w:rPr>
              <w:t>****</w:t>
            </w:r>
            <w:r>
              <w:rPr>
                <w:rFonts w:hint="eastAsia"/>
              </w:rPr>
              <w:t>（货物服务10%-20%）；</w:t>
            </w:r>
          </w:p>
          <w:p w14:paraId="4DAF07FD">
            <w:pPr>
              <w:pStyle w:val="53"/>
            </w:pPr>
            <w:r>
              <w:rPr>
                <w:rFonts w:hint="eastAsia"/>
              </w:rPr>
              <w:t>2.接受大中型企业与小微企业组成联合体或者允许大中型企业向一家或者多家小微企业分包的采购项目，对于联合协议或者分包意向协议约定小微企业的合同份额占到合同总金额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14:paraId="47B693BF">
            <w:pPr>
              <w:pStyle w:val="53"/>
            </w:pPr>
            <w:r>
              <w:rPr>
                <w:rFonts w:hint="eastAsia"/>
              </w:rPr>
              <w:t>3</w:t>
            </w:r>
            <w:r>
              <w:t>.</w:t>
            </w:r>
            <w:r>
              <w:rPr>
                <w:rFonts w:hint="eastAsia"/>
              </w:rPr>
              <w:t>中小企业应当提供《中小企业声明函》（详见本竞争性磋商文件第七章 响应文件格式），对符合鄂财采发〔2022〕5号文第二条规定享受上限评审优惠的小微企业，还应提供符合该条款要求的其他证明材料，否则在评审时不享受上述评审优惠。</w:t>
            </w:r>
          </w:p>
          <w:p w14:paraId="0DEB6303">
            <w:pPr>
              <w:pStyle w:val="53"/>
            </w:pPr>
            <w:r>
              <w:rPr/>
              <w:sym w:font="Wingdings" w:char="00FE"/>
            </w:r>
            <w:r>
              <w:rPr>
                <w:rFonts w:hint="eastAsia"/>
              </w:rPr>
              <w:t>专门面向中小企业的项目</w:t>
            </w:r>
          </w:p>
          <w:p w14:paraId="36C55837">
            <w:pPr>
              <w:pStyle w:val="53"/>
            </w:pPr>
            <w:r>
              <w:rPr>
                <w:rFonts w:hint="eastAsia"/>
              </w:rPr>
              <w:t>专门面向中小企业采购标的内容</w:t>
            </w:r>
            <w:r>
              <w:rPr>
                <w:rFonts w:hint="eastAsia"/>
                <w:lang w:eastAsia="zh-CN"/>
              </w:rPr>
              <w:t>：</w:t>
            </w:r>
            <w:r>
              <w:rPr>
                <w:rFonts w:hint="eastAsia"/>
                <w:u w:val="single"/>
              </w:rPr>
              <w:t>详见第</w:t>
            </w:r>
            <w:r>
              <w:rPr>
                <w:rFonts w:hint="eastAsia"/>
                <w:u w:val="single"/>
                <w:lang w:eastAsia="zh-CN"/>
              </w:rPr>
              <w:t>三</w:t>
            </w:r>
            <w:r>
              <w:rPr>
                <w:rFonts w:hint="eastAsia"/>
                <w:u w:val="single"/>
              </w:rPr>
              <w:t>章“项目采购需求”</w:t>
            </w:r>
            <w:r>
              <w:rPr>
                <w:rFonts w:hint="eastAsia"/>
              </w:rPr>
              <w:t>。</w:t>
            </w:r>
          </w:p>
          <w:p w14:paraId="3A575F3E">
            <w:pPr>
              <w:spacing w:line="320" w:lineRule="exact"/>
              <w:rPr>
                <w:rFonts w:hint="eastAsia" w:ascii="宋体" w:hAnsi="宋体" w:eastAsia="宋体" w:cs="宋体"/>
                <w:bCs/>
                <w:kern w:val="2"/>
                <w:sz w:val="21"/>
                <w:szCs w:val="21"/>
                <w:lang w:val="en-US" w:eastAsia="zh-CN" w:bidi="ar-SA"/>
              </w:rPr>
            </w:pPr>
            <w:r>
              <w:rPr>
                <w:rFonts w:hint="eastAsia"/>
                <w:lang w:val="en-US" w:eastAsia="zh-CN"/>
              </w:rPr>
              <w:t>所属行业：</w:t>
            </w:r>
            <w:r>
              <w:rPr>
                <w:rFonts w:hint="eastAsia"/>
                <w:u w:val="single"/>
                <w:lang w:val="en-US" w:eastAsia="zh-CN"/>
              </w:rPr>
              <w:t>其他未列明行业。</w:t>
            </w:r>
          </w:p>
        </w:tc>
      </w:tr>
      <w:tr w14:paraId="66D5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trPr>
        <w:tc>
          <w:tcPr>
            <w:tcW w:w="952" w:type="dxa"/>
            <w:vAlign w:val="center"/>
          </w:tcPr>
          <w:p w14:paraId="1D11DDCE">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十</w:t>
            </w:r>
          </w:p>
        </w:tc>
        <w:tc>
          <w:tcPr>
            <w:tcW w:w="2278" w:type="dxa"/>
            <w:vAlign w:val="center"/>
          </w:tcPr>
          <w:p w14:paraId="0728817A">
            <w:pPr>
              <w:rPr>
                <w:rFonts w:hint="eastAsia" w:ascii="宋体" w:hAnsi="宋体" w:eastAsia="宋体" w:cs="宋体"/>
                <w:kern w:val="2"/>
                <w:sz w:val="21"/>
                <w:szCs w:val="21"/>
                <w:lang w:val="en-US" w:eastAsia="zh-CN" w:bidi="ar-SA"/>
              </w:rPr>
            </w:pPr>
            <w:r>
              <w:rPr>
                <w:rFonts w:hint="eastAsia" w:ascii="宋体" w:hAnsi="宋体" w:eastAsia="宋体" w:cs="宋体"/>
                <w:szCs w:val="21"/>
              </w:rPr>
              <w:t>政府采购合同融资</w:t>
            </w:r>
          </w:p>
        </w:tc>
        <w:tc>
          <w:tcPr>
            <w:tcW w:w="5749" w:type="dxa"/>
            <w:vAlign w:val="center"/>
          </w:tcPr>
          <w:p w14:paraId="38880E18">
            <w:pPr>
              <w:spacing w:line="32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为进一步扶持中小企业优化十堰市营商环境，根据《十堰市市级政府采购合同线上信用融资实施意见》的要求，十堰市城区各金融机构建立绿色通道，配备了专业人员开展定向服务，有融资意向的供应商可根据文件要求提交《十堰市政府采购信用融资意向银行选择表》（见附件）。</w:t>
            </w:r>
          </w:p>
        </w:tc>
      </w:tr>
    </w:tbl>
    <w:p w14:paraId="0C0F23BB">
      <w:pPr>
        <w:rPr>
          <w:rFonts w:ascii="宋体" w:hAnsi="宋体" w:eastAsia="宋体"/>
          <w:szCs w:val="21"/>
        </w:rPr>
        <w:sectPr>
          <w:footerReference r:id="rId5" w:type="default"/>
          <w:pgSz w:w="11906" w:h="16838"/>
          <w:pgMar w:top="1440" w:right="1800" w:bottom="1440" w:left="1800" w:header="851" w:footer="992" w:gutter="0"/>
          <w:pgNumType w:fmt="decimal" w:start="1"/>
          <w:cols w:space="425" w:num="1"/>
          <w:docGrid w:type="lines" w:linePitch="312" w:charSpace="0"/>
        </w:sectPr>
      </w:pPr>
    </w:p>
    <w:tbl>
      <w:tblPr>
        <w:tblStyle w:val="23"/>
        <w:tblpPr w:leftFromText="180" w:rightFromText="180" w:vertAnchor="text" w:horzAnchor="page" w:tblpXSpec="center" w:tblpY="14"/>
        <w:tblOverlap w:val="never"/>
        <w:tblW w:w="8880" w:type="dxa"/>
        <w:jc w:val="center"/>
        <w:tblLayout w:type="fixed"/>
        <w:tblCellMar>
          <w:top w:w="0" w:type="dxa"/>
          <w:left w:w="108" w:type="dxa"/>
          <w:bottom w:w="0" w:type="dxa"/>
          <w:right w:w="108" w:type="dxa"/>
        </w:tblCellMar>
      </w:tblPr>
      <w:tblGrid>
        <w:gridCol w:w="1240"/>
        <w:gridCol w:w="5552"/>
        <w:gridCol w:w="812"/>
        <w:gridCol w:w="1276"/>
      </w:tblGrid>
      <w:tr w14:paraId="30031E16">
        <w:tblPrEx>
          <w:tblCellMar>
            <w:top w:w="0" w:type="dxa"/>
            <w:left w:w="108" w:type="dxa"/>
            <w:bottom w:w="0" w:type="dxa"/>
            <w:right w:w="108" w:type="dxa"/>
          </w:tblCellMar>
        </w:tblPrEx>
        <w:trPr>
          <w:trHeight w:val="652" w:hRule="atLeast"/>
          <w:jc w:val="center"/>
        </w:trPr>
        <w:tc>
          <w:tcPr>
            <w:tcW w:w="8880" w:type="dxa"/>
            <w:gridSpan w:val="4"/>
            <w:tcBorders>
              <w:top w:val="single" w:color="auto" w:sz="6" w:space="0"/>
              <w:left w:val="single" w:color="auto" w:sz="6" w:space="0"/>
              <w:bottom w:val="single" w:color="auto" w:sz="6" w:space="0"/>
              <w:right w:val="single" w:color="auto" w:sz="6" w:space="0"/>
            </w:tcBorders>
            <w:vAlign w:val="center"/>
          </w:tcPr>
          <w:p w14:paraId="737A3F4E">
            <w:pPr>
              <w:autoSpaceDE w:val="0"/>
              <w:autoSpaceDN w:val="0"/>
              <w:jc w:val="center"/>
              <w:rPr>
                <w:rFonts w:ascii="宋体" w:hAnsi="宋体" w:eastAsia="宋体" w:cs="宋体"/>
                <w:b/>
                <w:bCs/>
                <w:sz w:val="18"/>
                <w:szCs w:val="18"/>
              </w:rPr>
            </w:pPr>
            <w:r>
              <w:rPr>
                <w:rFonts w:hint="eastAsia" w:ascii="宋体" w:hAnsi="宋体" w:eastAsia="宋体" w:cs="宋体"/>
                <w:b/>
                <w:bCs/>
                <w:szCs w:val="21"/>
              </w:rPr>
              <w:t>十堰市政府采购支持中小企业信用融资合作银行</w:t>
            </w:r>
          </w:p>
        </w:tc>
      </w:tr>
      <w:tr w14:paraId="6417DA28">
        <w:tblPrEx>
          <w:tblCellMar>
            <w:top w:w="0" w:type="dxa"/>
            <w:left w:w="108" w:type="dxa"/>
            <w:bottom w:w="0" w:type="dxa"/>
            <w:right w:w="108" w:type="dxa"/>
          </w:tblCellMar>
        </w:tblPrEx>
        <w:trPr>
          <w:trHeight w:val="569" w:hRule="atLeast"/>
          <w:jc w:val="center"/>
        </w:trPr>
        <w:tc>
          <w:tcPr>
            <w:tcW w:w="1240" w:type="dxa"/>
            <w:tcBorders>
              <w:top w:val="single" w:color="auto" w:sz="6" w:space="0"/>
              <w:left w:val="single" w:color="auto" w:sz="6" w:space="0"/>
              <w:bottom w:val="single" w:color="auto" w:sz="6" w:space="0"/>
              <w:right w:val="single" w:color="auto" w:sz="6" w:space="0"/>
            </w:tcBorders>
            <w:vAlign w:val="center"/>
          </w:tcPr>
          <w:p w14:paraId="0CFAAF12">
            <w:pPr>
              <w:autoSpaceDE w:val="0"/>
              <w:autoSpaceDN w:val="0"/>
              <w:jc w:val="center"/>
              <w:rPr>
                <w:rFonts w:ascii="宋体" w:hAnsi="宋体" w:eastAsia="宋体" w:cs="宋体"/>
                <w:sz w:val="18"/>
                <w:szCs w:val="18"/>
              </w:rPr>
            </w:pPr>
            <w:r>
              <w:rPr>
                <w:rFonts w:hint="eastAsia" w:ascii="宋体" w:hAnsi="宋体" w:eastAsia="宋体" w:cs="宋体"/>
                <w:sz w:val="18"/>
                <w:szCs w:val="18"/>
              </w:rPr>
              <w:t>银行名称</w:t>
            </w:r>
          </w:p>
        </w:tc>
        <w:tc>
          <w:tcPr>
            <w:tcW w:w="5552" w:type="dxa"/>
            <w:tcBorders>
              <w:top w:val="single" w:color="auto" w:sz="6" w:space="0"/>
              <w:left w:val="single" w:color="auto" w:sz="6" w:space="0"/>
              <w:bottom w:val="single" w:color="auto" w:sz="6" w:space="0"/>
              <w:right w:val="single" w:color="auto" w:sz="6" w:space="0"/>
            </w:tcBorders>
            <w:vAlign w:val="center"/>
          </w:tcPr>
          <w:p w14:paraId="5AED964B">
            <w:pPr>
              <w:autoSpaceDE w:val="0"/>
              <w:autoSpaceDN w:val="0"/>
              <w:jc w:val="center"/>
              <w:rPr>
                <w:rFonts w:ascii="宋体" w:hAnsi="宋体" w:eastAsia="宋体" w:cs="宋体"/>
                <w:sz w:val="18"/>
                <w:szCs w:val="18"/>
              </w:rPr>
            </w:pPr>
            <w:r>
              <w:rPr>
                <w:rFonts w:hint="eastAsia" w:ascii="宋体" w:hAnsi="宋体" w:eastAsia="宋体" w:cs="宋体"/>
                <w:sz w:val="18"/>
                <w:szCs w:val="18"/>
              </w:rPr>
              <w:t>产品特点</w:t>
            </w:r>
          </w:p>
        </w:tc>
        <w:tc>
          <w:tcPr>
            <w:tcW w:w="812" w:type="dxa"/>
            <w:tcBorders>
              <w:top w:val="single" w:color="auto" w:sz="6" w:space="0"/>
              <w:left w:val="single" w:color="auto" w:sz="6" w:space="0"/>
              <w:bottom w:val="single" w:color="auto" w:sz="6" w:space="0"/>
              <w:right w:val="single" w:color="auto" w:sz="6" w:space="0"/>
            </w:tcBorders>
            <w:vAlign w:val="center"/>
          </w:tcPr>
          <w:p w14:paraId="5B84DB83">
            <w:pPr>
              <w:autoSpaceDE w:val="0"/>
              <w:autoSpaceDN w:val="0"/>
              <w:jc w:val="center"/>
              <w:rPr>
                <w:rFonts w:ascii="宋体" w:hAnsi="宋体" w:eastAsia="宋体" w:cs="宋体"/>
                <w:sz w:val="18"/>
                <w:szCs w:val="18"/>
              </w:rPr>
            </w:pPr>
            <w:r>
              <w:rPr>
                <w:rFonts w:hint="eastAsia" w:ascii="宋体" w:hAnsi="宋体" w:eastAsia="宋体" w:cs="宋体"/>
                <w:sz w:val="18"/>
                <w:szCs w:val="18"/>
              </w:rPr>
              <w:t>经办人</w:t>
            </w:r>
          </w:p>
        </w:tc>
        <w:tc>
          <w:tcPr>
            <w:tcW w:w="1276" w:type="dxa"/>
            <w:tcBorders>
              <w:top w:val="single" w:color="auto" w:sz="6" w:space="0"/>
              <w:left w:val="single" w:color="auto" w:sz="6" w:space="0"/>
              <w:bottom w:val="single" w:color="auto" w:sz="6" w:space="0"/>
              <w:right w:val="single" w:color="auto" w:sz="6" w:space="0"/>
            </w:tcBorders>
            <w:vAlign w:val="center"/>
          </w:tcPr>
          <w:p w14:paraId="337090DB">
            <w:pPr>
              <w:autoSpaceDE w:val="0"/>
              <w:autoSpaceDN w:val="0"/>
              <w:jc w:val="center"/>
              <w:rPr>
                <w:rFonts w:ascii="宋体" w:hAnsi="宋体" w:eastAsia="宋体" w:cs="宋体"/>
                <w:sz w:val="18"/>
                <w:szCs w:val="18"/>
              </w:rPr>
            </w:pPr>
            <w:r>
              <w:rPr>
                <w:rFonts w:hint="eastAsia" w:ascii="宋体" w:hAnsi="宋体" w:eastAsia="宋体" w:cs="宋体"/>
                <w:sz w:val="18"/>
                <w:szCs w:val="18"/>
              </w:rPr>
              <w:t>联系方式</w:t>
            </w:r>
          </w:p>
        </w:tc>
      </w:tr>
      <w:tr w14:paraId="5E050FED">
        <w:tblPrEx>
          <w:tblCellMar>
            <w:top w:w="0" w:type="dxa"/>
            <w:left w:w="108" w:type="dxa"/>
            <w:bottom w:w="0" w:type="dxa"/>
            <w:right w:w="108" w:type="dxa"/>
          </w:tblCellMar>
        </w:tblPrEx>
        <w:trPr>
          <w:trHeight w:val="1928" w:hRule="atLeast"/>
          <w:jc w:val="center"/>
        </w:trPr>
        <w:tc>
          <w:tcPr>
            <w:tcW w:w="1240" w:type="dxa"/>
            <w:tcBorders>
              <w:top w:val="single" w:color="auto" w:sz="6" w:space="0"/>
              <w:left w:val="single" w:color="auto" w:sz="6" w:space="0"/>
              <w:bottom w:val="single" w:color="auto" w:sz="6" w:space="0"/>
              <w:right w:val="single" w:color="auto" w:sz="6" w:space="0"/>
            </w:tcBorders>
            <w:vAlign w:val="center"/>
          </w:tcPr>
          <w:p w14:paraId="32ABB010">
            <w:pPr>
              <w:autoSpaceDE w:val="0"/>
              <w:autoSpaceDN w:val="0"/>
              <w:jc w:val="center"/>
              <w:rPr>
                <w:rFonts w:ascii="宋体" w:hAnsi="宋体" w:eastAsia="宋体" w:cs="宋体"/>
                <w:sz w:val="18"/>
                <w:szCs w:val="18"/>
              </w:rPr>
            </w:pPr>
            <w:r>
              <w:rPr>
                <w:rFonts w:hint="eastAsia" w:ascii="宋体" w:hAnsi="宋体" w:eastAsia="宋体" w:cs="宋体"/>
                <w:sz w:val="18"/>
                <w:szCs w:val="18"/>
              </w:rPr>
              <w:t>中国建设银行股份有限公司十堰分行</w:t>
            </w:r>
          </w:p>
        </w:tc>
        <w:tc>
          <w:tcPr>
            <w:tcW w:w="5552" w:type="dxa"/>
            <w:tcBorders>
              <w:top w:val="single" w:color="auto" w:sz="6" w:space="0"/>
              <w:left w:val="single" w:color="auto" w:sz="6" w:space="0"/>
              <w:bottom w:val="single" w:color="auto" w:sz="6" w:space="0"/>
              <w:right w:val="single" w:color="auto" w:sz="6" w:space="0"/>
            </w:tcBorders>
            <w:vAlign w:val="center"/>
          </w:tcPr>
          <w:p w14:paraId="16971B25">
            <w:pPr>
              <w:autoSpaceDE w:val="0"/>
              <w:autoSpaceDN w:val="0"/>
              <w:jc w:val="left"/>
              <w:rPr>
                <w:rFonts w:ascii="宋体" w:hAnsi="宋体" w:eastAsia="宋体" w:cs="宋体"/>
                <w:sz w:val="18"/>
                <w:szCs w:val="18"/>
              </w:rPr>
            </w:pPr>
            <w:r>
              <w:rPr>
                <w:rFonts w:hint="eastAsia" w:ascii="宋体" w:hAnsi="宋体" w:cs="宋体"/>
                <w:sz w:val="18"/>
                <w:szCs w:val="18"/>
              </w:rPr>
              <w:t>1.</w:t>
            </w:r>
            <w:r>
              <w:rPr>
                <w:rFonts w:hint="eastAsia" w:ascii="宋体" w:hAnsi="宋体" w:eastAsia="宋体" w:cs="宋体"/>
                <w:sz w:val="18"/>
                <w:szCs w:val="18"/>
              </w:rPr>
              <w:t>基于真实的政府采购信息，与湖北政府采购合同融资平台互联互通。政府采购供应商只需凭借真实政府采购合同和中标信息即可在建行办理全流程线上无抵押担保。</w:t>
            </w:r>
          </w:p>
          <w:p w14:paraId="2FFCA19D">
            <w:pPr>
              <w:autoSpaceDE w:val="0"/>
              <w:autoSpaceDN w:val="0"/>
              <w:jc w:val="left"/>
              <w:rPr>
                <w:rFonts w:ascii="宋体" w:hAnsi="宋体" w:cs="宋体"/>
                <w:sz w:val="18"/>
                <w:szCs w:val="18"/>
              </w:rPr>
            </w:pPr>
            <w:r>
              <w:rPr>
                <w:rFonts w:hint="eastAsia" w:ascii="宋体" w:hAnsi="宋体" w:cs="宋体"/>
                <w:sz w:val="18"/>
                <w:szCs w:val="18"/>
              </w:rPr>
              <w:t>2.融资成本低。银行融资利率原则上比同期企业流动资金贷款利率低20%以上。</w:t>
            </w:r>
          </w:p>
          <w:p w14:paraId="58483767">
            <w:pPr>
              <w:autoSpaceDE w:val="0"/>
              <w:autoSpaceDN w:val="0"/>
              <w:jc w:val="left"/>
              <w:rPr>
                <w:rFonts w:ascii="宋体" w:hAnsi="宋体" w:cs="宋体"/>
                <w:sz w:val="18"/>
                <w:szCs w:val="18"/>
              </w:rPr>
            </w:pPr>
            <w:r>
              <w:rPr>
                <w:rFonts w:hint="eastAsia" w:ascii="宋体" w:hAnsi="宋体" w:cs="宋体"/>
                <w:sz w:val="18"/>
                <w:szCs w:val="18"/>
              </w:rPr>
              <w:t>3.放款快捷。</w:t>
            </w:r>
            <w:r>
              <w:rPr>
                <w:rFonts w:hint="eastAsia" w:ascii="宋体" w:hAnsi="宋体" w:eastAsia="宋体" w:cs="宋体"/>
                <w:sz w:val="18"/>
                <w:szCs w:val="18"/>
              </w:rPr>
              <w:t>从客户提交融资需求到放款</w:t>
            </w:r>
            <w:r>
              <w:rPr>
                <w:rFonts w:hint="eastAsia" w:ascii="宋体" w:hAnsi="宋体" w:cs="宋体"/>
                <w:sz w:val="18"/>
                <w:szCs w:val="18"/>
              </w:rPr>
              <w:t>一般需3个工作日。</w:t>
            </w:r>
          </w:p>
        </w:tc>
        <w:tc>
          <w:tcPr>
            <w:tcW w:w="812" w:type="dxa"/>
            <w:tcBorders>
              <w:top w:val="single" w:color="auto" w:sz="6" w:space="0"/>
              <w:left w:val="single" w:color="auto" w:sz="6" w:space="0"/>
              <w:bottom w:val="single" w:color="auto" w:sz="6" w:space="0"/>
              <w:right w:val="single" w:color="auto" w:sz="6" w:space="0"/>
            </w:tcBorders>
            <w:vAlign w:val="center"/>
          </w:tcPr>
          <w:p w14:paraId="0C1EF7AE">
            <w:pPr>
              <w:autoSpaceDE w:val="0"/>
              <w:autoSpaceDN w:val="0"/>
              <w:jc w:val="center"/>
              <w:rPr>
                <w:rFonts w:ascii="宋体" w:hAnsi="宋体" w:eastAsia="宋体" w:cs="宋体"/>
                <w:sz w:val="18"/>
                <w:szCs w:val="18"/>
              </w:rPr>
            </w:pPr>
            <w:r>
              <w:rPr>
                <w:rFonts w:hint="eastAsia" w:ascii="宋体" w:hAnsi="宋体" w:eastAsia="宋体" w:cs="宋体"/>
                <w:sz w:val="18"/>
                <w:szCs w:val="18"/>
              </w:rPr>
              <w:t>赵经理</w:t>
            </w:r>
          </w:p>
        </w:tc>
        <w:tc>
          <w:tcPr>
            <w:tcW w:w="1276" w:type="dxa"/>
            <w:tcBorders>
              <w:top w:val="single" w:color="auto" w:sz="6" w:space="0"/>
              <w:left w:val="single" w:color="auto" w:sz="6" w:space="0"/>
              <w:bottom w:val="single" w:color="auto" w:sz="6" w:space="0"/>
              <w:right w:val="single" w:color="auto" w:sz="6" w:space="0"/>
            </w:tcBorders>
            <w:vAlign w:val="center"/>
          </w:tcPr>
          <w:p w14:paraId="340BA203">
            <w:pPr>
              <w:autoSpaceDE w:val="0"/>
              <w:autoSpaceDN w:val="0"/>
              <w:jc w:val="center"/>
              <w:rPr>
                <w:rFonts w:ascii="宋体" w:hAnsi="宋体" w:eastAsia="宋体" w:cs="宋体"/>
                <w:sz w:val="18"/>
                <w:szCs w:val="18"/>
              </w:rPr>
            </w:pPr>
            <w:r>
              <w:rPr>
                <w:rFonts w:hint="eastAsia" w:ascii="宋体" w:hAnsi="宋体" w:eastAsia="宋体" w:cs="宋体"/>
                <w:sz w:val="18"/>
                <w:szCs w:val="18"/>
              </w:rPr>
              <w:t>18671665596</w:t>
            </w:r>
          </w:p>
        </w:tc>
      </w:tr>
      <w:tr w14:paraId="56CEF16E">
        <w:tblPrEx>
          <w:tblCellMar>
            <w:top w:w="0" w:type="dxa"/>
            <w:left w:w="108" w:type="dxa"/>
            <w:bottom w:w="0" w:type="dxa"/>
            <w:right w:w="108" w:type="dxa"/>
          </w:tblCellMar>
        </w:tblPrEx>
        <w:trPr>
          <w:trHeight w:val="3843" w:hRule="atLeast"/>
          <w:jc w:val="center"/>
        </w:trPr>
        <w:tc>
          <w:tcPr>
            <w:tcW w:w="1240" w:type="dxa"/>
            <w:tcBorders>
              <w:top w:val="single" w:color="auto" w:sz="6" w:space="0"/>
              <w:left w:val="single" w:color="auto" w:sz="6" w:space="0"/>
              <w:bottom w:val="single" w:color="auto" w:sz="4" w:space="0"/>
              <w:right w:val="single" w:color="auto" w:sz="6" w:space="0"/>
            </w:tcBorders>
            <w:vAlign w:val="center"/>
          </w:tcPr>
          <w:p w14:paraId="42C07184">
            <w:pPr>
              <w:autoSpaceDE w:val="0"/>
              <w:autoSpaceDN w:val="0"/>
              <w:jc w:val="center"/>
              <w:rPr>
                <w:rFonts w:ascii="宋体" w:hAnsi="宋体" w:eastAsia="宋体" w:cs="宋体"/>
                <w:sz w:val="18"/>
                <w:szCs w:val="18"/>
              </w:rPr>
            </w:pPr>
            <w:r>
              <w:rPr>
                <w:rFonts w:hint="eastAsia" w:ascii="宋体" w:hAnsi="宋体" w:eastAsia="宋体" w:cs="宋体"/>
                <w:sz w:val="18"/>
                <w:szCs w:val="18"/>
              </w:rPr>
              <w:t>交通银行股份有限公司十堰分行</w:t>
            </w:r>
          </w:p>
        </w:tc>
        <w:tc>
          <w:tcPr>
            <w:tcW w:w="5552" w:type="dxa"/>
            <w:tcBorders>
              <w:top w:val="single" w:color="auto" w:sz="6" w:space="0"/>
              <w:left w:val="single" w:color="auto" w:sz="6" w:space="0"/>
              <w:bottom w:val="single" w:color="auto" w:sz="4" w:space="0"/>
              <w:right w:val="single" w:color="auto" w:sz="6" w:space="0"/>
            </w:tcBorders>
            <w:vAlign w:val="center"/>
          </w:tcPr>
          <w:p w14:paraId="45AF96BC">
            <w:pPr>
              <w:autoSpaceDE w:val="0"/>
              <w:autoSpaceDN w:val="0"/>
              <w:jc w:val="left"/>
              <w:rPr>
                <w:rFonts w:ascii="宋体" w:hAnsi="宋体" w:eastAsia="宋体" w:cs="宋体"/>
                <w:sz w:val="18"/>
                <w:szCs w:val="18"/>
              </w:rPr>
            </w:pPr>
            <w:r>
              <w:rPr>
                <w:rFonts w:hint="eastAsia" w:ascii="宋体" w:hAnsi="宋体" w:eastAsia="宋体" w:cs="宋体"/>
                <w:sz w:val="18"/>
                <w:szCs w:val="18"/>
              </w:rPr>
              <w:t>1.放款快捷。政采e贷”产品通过人行中征应收账款融资服务平台与省市的政府采购平台对接，实现了客户申请、授信审批线上化，并有效锁定回款路径，极大提高了政府采购中标小企业融资的可获得性、便捷性及时效性。从客户提交融资需求到放款最快</w:t>
            </w:r>
            <w:r>
              <w:rPr>
                <w:rFonts w:hint="eastAsia" w:ascii="宋体" w:hAnsi="宋体" w:cs="宋体"/>
                <w:sz w:val="18"/>
                <w:szCs w:val="18"/>
              </w:rPr>
              <w:t>1</w:t>
            </w:r>
            <w:r>
              <w:rPr>
                <w:rFonts w:hint="eastAsia" w:ascii="宋体" w:hAnsi="宋体" w:eastAsia="宋体" w:cs="宋体"/>
                <w:sz w:val="18"/>
                <w:szCs w:val="18"/>
              </w:rPr>
              <w:t>个工作日。</w:t>
            </w:r>
          </w:p>
          <w:p w14:paraId="16DD73F2">
            <w:pPr>
              <w:autoSpaceDE w:val="0"/>
              <w:autoSpaceDN w:val="0"/>
              <w:jc w:val="left"/>
              <w:rPr>
                <w:rFonts w:ascii="宋体" w:hAnsi="宋体" w:eastAsia="宋体" w:cs="宋体"/>
                <w:sz w:val="18"/>
                <w:szCs w:val="18"/>
              </w:rPr>
            </w:pPr>
            <w:r>
              <w:rPr>
                <w:rFonts w:hint="eastAsia" w:ascii="宋体" w:hAnsi="宋体" w:eastAsia="宋体" w:cs="宋体"/>
                <w:sz w:val="18"/>
                <w:szCs w:val="18"/>
              </w:rPr>
              <w:t>2.融资成本低</w:t>
            </w:r>
            <w:r>
              <w:rPr>
                <w:rFonts w:hint="eastAsia" w:ascii="宋体" w:hAnsi="宋体" w:cs="宋体"/>
                <w:sz w:val="18"/>
                <w:szCs w:val="18"/>
              </w:rPr>
              <w:t>。银行融资利率原则上比同期企业流动资金贷款利率低20%以上</w:t>
            </w:r>
            <w:r>
              <w:rPr>
                <w:rFonts w:hint="eastAsia" w:ascii="宋体" w:hAnsi="宋体" w:eastAsia="宋体" w:cs="宋体"/>
                <w:sz w:val="18"/>
                <w:szCs w:val="18"/>
              </w:rPr>
              <w:t>。</w:t>
            </w:r>
          </w:p>
          <w:p w14:paraId="43596C08">
            <w:pPr>
              <w:autoSpaceDE w:val="0"/>
              <w:autoSpaceDN w:val="0"/>
              <w:jc w:val="left"/>
              <w:rPr>
                <w:rFonts w:ascii="宋体" w:hAnsi="宋体" w:eastAsia="宋体" w:cs="宋体"/>
                <w:sz w:val="18"/>
                <w:szCs w:val="18"/>
              </w:rPr>
            </w:pPr>
            <w:r>
              <w:rPr>
                <w:rFonts w:hint="eastAsia" w:ascii="宋体" w:hAnsi="宋体" w:eastAsia="宋体" w:cs="宋体"/>
                <w:sz w:val="18"/>
                <w:szCs w:val="18"/>
              </w:rPr>
              <w:t>3.授信额度高。最高授信额度可达1000万元。政采e贷的额度是基于客户2020年以来（核额为年均）在政府采购中标情况数据核定，如果客户在政府采购中标频繁且金额较大，该额度更能满足客户融资需求。</w:t>
            </w:r>
          </w:p>
          <w:p w14:paraId="5149614A">
            <w:pPr>
              <w:autoSpaceDE w:val="0"/>
              <w:autoSpaceDN w:val="0"/>
              <w:jc w:val="left"/>
              <w:rPr>
                <w:rFonts w:ascii="宋体" w:hAnsi="宋体" w:eastAsia="宋体" w:cs="宋体"/>
                <w:sz w:val="18"/>
                <w:szCs w:val="18"/>
              </w:rPr>
            </w:pPr>
            <w:r>
              <w:rPr>
                <w:rFonts w:hint="eastAsia" w:ascii="宋体" w:hAnsi="宋体" w:eastAsia="宋体" w:cs="宋体"/>
                <w:sz w:val="18"/>
                <w:szCs w:val="18"/>
              </w:rPr>
              <w:t>4.授信期限长。授信期限两年，单笔业务期限一年，能保证客户融资不断档。</w:t>
            </w:r>
          </w:p>
        </w:tc>
        <w:tc>
          <w:tcPr>
            <w:tcW w:w="812" w:type="dxa"/>
            <w:tcBorders>
              <w:top w:val="single" w:color="auto" w:sz="6" w:space="0"/>
              <w:left w:val="single" w:color="auto" w:sz="6" w:space="0"/>
              <w:bottom w:val="single" w:color="auto" w:sz="4" w:space="0"/>
              <w:right w:val="single" w:color="auto" w:sz="6" w:space="0"/>
            </w:tcBorders>
            <w:vAlign w:val="center"/>
          </w:tcPr>
          <w:p w14:paraId="6C519900">
            <w:pPr>
              <w:autoSpaceDE w:val="0"/>
              <w:autoSpaceDN w:val="0"/>
              <w:jc w:val="center"/>
              <w:rPr>
                <w:rFonts w:ascii="宋体" w:hAnsi="宋体" w:eastAsia="宋体" w:cs="宋体"/>
                <w:sz w:val="18"/>
                <w:szCs w:val="18"/>
              </w:rPr>
            </w:pPr>
            <w:r>
              <w:rPr>
                <w:rFonts w:hint="eastAsia" w:ascii="宋体" w:hAnsi="宋体" w:eastAsia="宋体" w:cs="宋体"/>
                <w:sz w:val="18"/>
                <w:szCs w:val="18"/>
              </w:rPr>
              <w:t>张经理</w:t>
            </w:r>
          </w:p>
        </w:tc>
        <w:tc>
          <w:tcPr>
            <w:tcW w:w="1276" w:type="dxa"/>
            <w:tcBorders>
              <w:top w:val="single" w:color="auto" w:sz="6" w:space="0"/>
              <w:left w:val="single" w:color="auto" w:sz="6" w:space="0"/>
              <w:bottom w:val="single" w:color="auto" w:sz="4" w:space="0"/>
              <w:right w:val="single" w:color="auto" w:sz="6" w:space="0"/>
            </w:tcBorders>
            <w:vAlign w:val="center"/>
          </w:tcPr>
          <w:p w14:paraId="7FCE1E60">
            <w:pPr>
              <w:autoSpaceDE w:val="0"/>
              <w:autoSpaceDN w:val="0"/>
              <w:jc w:val="center"/>
              <w:rPr>
                <w:rFonts w:ascii="宋体" w:hAnsi="宋体" w:eastAsia="宋体" w:cs="宋体"/>
                <w:sz w:val="18"/>
                <w:szCs w:val="18"/>
              </w:rPr>
            </w:pPr>
            <w:r>
              <w:rPr>
                <w:rFonts w:hint="eastAsia" w:ascii="宋体" w:hAnsi="宋体" w:eastAsia="宋体" w:cs="宋体"/>
                <w:sz w:val="18"/>
                <w:szCs w:val="18"/>
              </w:rPr>
              <w:t>18772957391</w:t>
            </w:r>
          </w:p>
        </w:tc>
      </w:tr>
      <w:tr w14:paraId="6D3DDD9F">
        <w:tblPrEx>
          <w:tblCellMar>
            <w:top w:w="0" w:type="dxa"/>
            <w:left w:w="108" w:type="dxa"/>
            <w:bottom w:w="0" w:type="dxa"/>
            <w:right w:w="108" w:type="dxa"/>
          </w:tblCellMar>
        </w:tblPrEx>
        <w:trPr>
          <w:trHeight w:val="1285"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14:paraId="4A19C620">
            <w:pPr>
              <w:autoSpaceDE w:val="0"/>
              <w:autoSpaceDN w:val="0"/>
              <w:jc w:val="center"/>
              <w:rPr>
                <w:rFonts w:ascii="宋体" w:hAnsi="宋体" w:eastAsia="宋体" w:cs="宋体"/>
                <w:sz w:val="18"/>
                <w:szCs w:val="18"/>
              </w:rPr>
            </w:pPr>
            <w:r>
              <w:rPr>
                <w:rFonts w:hint="eastAsia" w:ascii="宋体" w:hAnsi="宋体" w:eastAsia="宋体" w:cs="宋体"/>
                <w:sz w:val="18"/>
                <w:szCs w:val="18"/>
              </w:rPr>
              <w:t>湖北银行股份有限公司十堰分行</w:t>
            </w:r>
          </w:p>
        </w:tc>
        <w:tc>
          <w:tcPr>
            <w:tcW w:w="5552" w:type="dxa"/>
            <w:tcBorders>
              <w:top w:val="single" w:color="auto" w:sz="4" w:space="0"/>
              <w:left w:val="single" w:color="auto" w:sz="4" w:space="0"/>
              <w:bottom w:val="single" w:color="auto" w:sz="4" w:space="0"/>
              <w:right w:val="single" w:color="auto" w:sz="4" w:space="0"/>
            </w:tcBorders>
            <w:vAlign w:val="center"/>
          </w:tcPr>
          <w:p w14:paraId="5E996E45">
            <w:pPr>
              <w:autoSpaceDE w:val="0"/>
              <w:autoSpaceDN w:val="0"/>
              <w:rPr>
                <w:rFonts w:ascii="宋体" w:hAnsi="宋体" w:cs="宋体"/>
                <w:sz w:val="18"/>
                <w:szCs w:val="18"/>
              </w:rPr>
            </w:pPr>
            <w:r>
              <w:rPr>
                <w:rFonts w:hint="eastAsia" w:ascii="宋体" w:hAnsi="宋体" w:eastAsia="宋体" w:cs="宋体"/>
                <w:sz w:val="18"/>
                <w:szCs w:val="18"/>
              </w:rPr>
              <w:t>1.根据政采网公示信息及企业中标信息，可提供一定额度信用贷款，无需抵押，绿色通道</w:t>
            </w:r>
            <w:r>
              <w:rPr>
                <w:rFonts w:hint="eastAsia" w:ascii="宋体" w:hAnsi="宋体" w:cs="宋体"/>
                <w:sz w:val="18"/>
                <w:szCs w:val="18"/>
              </w:rPr>
              <w:t>。</w:t>
            </w:r>
          </w:p>
          <w:p w14:paraId="26F012D9">
            <w:pPr>
              <w:autoSpaceDE w:val="0"/>
              <w:autoSpaceDN w:val="0"/>
              <w:rPr>
                <w:rFonts w:ascii="宋体" w:hAnsi="宋体" w:cs="宋体"/>
                <w:sz w:val="18"/>
                <w:szCs w:val="18"/>
              </w:rPr>
            </w:pPr>
            <w:r>
              <w:rPr>
                <w:rFonts w:hint="eastAsia" w:ascii="宋体" w:hAnsi="宋体" w:cs="宋体"/>
                <w:sz w:val="18"/>
                <w:szCs w:val="18"/>
              </w:rPr>
              <w:t>2.银行融资利率原则上比同期企业流动资金贷款利率低20%以上。</w:t>
            </w:r>
          </w:p>
          <w:p w14:paraId="1907828E">
            <w:pPr>
              <w:autoSpaceDE w:val="0"/>
              <w:autoSpaceDN w:val="0"/>
              <w:jc w:val="left"/>
              <w:rPr>
                <w:rFonts w:ascii="宋体" w:hAnsi="宋体" w:cs="宋体"/>
                <w:sz w:val="18"/>
                <w:szCs w:val="18"/>
              </w:rPr>
            </w:pPr>
            <w:r>
              <w:rPr>
                <w:rFonts w:hint="eastAsia" w:ascii="宋体" w:hAnsi="宋体" w:cs="宋体"/>
                <w:sz w:val="18"/>
                <w:szCs w:val="18"/>
              </w:rPr>
              <w:t>3.</w:t>
            </w:r>
            <w:r>
              <w:rPr>
                <w:rFonts w:hint="eastAsia" w:ascii="宋体" w:hAnsi="宋体" w:eastAsia="宋体" w:cs="宋体"/>
                <w:sz w:val="18"/>
                <w:szCs w:val="18"/>
              </w:rPr>
              <w:t>从客户提交融资需求到放款</w:t>
            </w:r>
            <w:r>
              <w:rPr>
                <w:rFonts w:hint="eastAsia" w:ascii="宋体" w:hAnsi="宋体" w:cs="宋体"/>
                <w:sz w:val="18"/>
                <w:szCs w:val="18"/>
              </w:rPr>
              <w:t>一般需7-10个工作日。</w:t>
            </w:r>
          </w:p>
        </w:tc>
        <w:tc>
          <w:tcPr>
            <w:tcW w:w="812" w:type="dxa"/>
            <w:tcBorders>
              <w:top w:val="single" w:color="auto" w:sz="4" w:space="0"/>
              <w:left w:val="single" w:color="auto" w:sz="4" w:space="0"/>
              <w:bottom w:val="single" w:color="auto" w:sz="4" w:space="0"/>
              <w:right w:val="single" w:color="auto" w:sz="4" w:space="0"/>
            </w:tcBorders>
            <w:vAlign w:val="center"/>
          </w:tcPr>
          <w:p w14:paraId="78B3D127">
            <w:pPr>
              <w:jc w:val="center"/>
              <w:rPr>
                <w:rFonts w:ascii="宋体" w:hAnsi="宋体" w:eastAsia="宋体" w:cs="宋体"/>
                <w:sz w:val="18"/>
                <w:szCs w:val="18"/>
              </w:rPr>
            </w:pPr>
            <w:r>
              <w:rPr>
                <w:rFonts w:hint="eastAsia" w:ascii="宋体" w:hAnsi="宋体" w:eastAsia="宋体" w:cs="宋体"/>
                <w:sz w:val="18"/>
                <w:szCs w:val="18"/>
              </w:rPr>
              <w:t>韩</w:t>
            </w:r>
            <w:r>
              <w:rPr>
                <w:rFonts w:hint="eastAsia" w:ascii="宋体" w:hAnsi="宋体" w:cs="宋体"/>
                <w:sz w:val="18"/>
                <w:szCs w:val="18"/>
              </w:rPr>
              <w:t xml:space="preserve"> </w:t>
            </w:r>
            <w:r>
              <w:rPr>
                <w:rFonts w:hint="eastAsia" w:ascii="宋体" w:hAnsi="宋体" w:eastAsia="宋体" w:cs="宋体"/>
                <w:sz w:val="18"/>
                <w:szCs w:val="18"/>
              </w:rPr>
              <w:t>飞</w:t>
            </w:r>
          </w:p>
        </w:tc>
        <w:tc>
          <w:tcPr>
            <w:tcW w:w="1276" w:type="dxa"/>
            <w:tcBorders>
              <w:top w:val="single" w:color="auto" w:sz="4" w:space="0"/>
              <w:left w:val="single" w:color="auto" w:sz="4" w:space="0"/>
              <w:bottom w:val="single" w:color="auto" w:sz="4" w:space="0"/>
              <w:right w:val="single" w:color="auto" w:sz="4" w:space="0"/>
            </w:tcBorders>
            <w:vAlign w:val="center"/>
          </w:tcPr>
          <w:p w14:paraId="2A1DBF36">
            <w:pPr>
              <w:autoSpaceDE w:val="0"/>
              <w:autoSpaceDN w:val="0"/>
              <w:jc w:val="center"/>
              <w:rPr>
                <w:rFonts w:ascii="宋体" w:hAnsi="宋体" w:cs="宋体"/>
                <w:sz w:val="18"/>
                <w:szCs w:val="18"/>
              </w:rPr>
            </w:pPr>
            <w:r>
              <w:rPr>
                <w:rFonts w:hint="eastAsia" w:ascii="宋体" w:hAnsi="宋体" w:cs="宋体"/>
                <w:sz w:val="18"/>
                <w:szCs w:val="18"/>
              </w:rPr>
              <w:t>13797866006</w:t>
            </w:r>
          </w:p>
          <w:p w14:paraId="5D4F92B5">
            <w:pPr>
              <w:autoSpaceDE w:val="0"/>
              <w:autoSpaceDN w:val="0"/>
              <w:jc w:val="center"/>
              <w:rPr>
                <w:rFonts w:ascii="宋体" w:hAnsi="宋体" w:cs="宋体"/>
                <w:sz w:val="18"/>
                <w:szCs w:val="18"/>
              </w:rPr>
            </w:pPr>
            <w:r>
              <w:rPr>
                <w:rFonts w:hint="eastAsia" w:ascii="宋体" w:hAnsi="宋体" w:cs="宋体"/>
                <w:sz w:val="18"/>
                <w:szCs w:val="18"/>
              </w:rPr>
              <w:t>8616776</w:t>
            </w:r>
          </w:p>
        </w:tc>
      </w:tr>
      <w:tr w14:paraId="6414875B">
        <w:tblPrEx>
          <w:tblCellMar>
            <w:top w:w="0" w:type="dxa"/>
            <w:left w:w="108" w:type="dxa"/>
            <w:bottom w:w="0" w:type="dxa"/>
            <w:right w:w="108" w:type="dxa"/>
          </w:tblCellMar>
        </w:tblPrEx>
        <w:trPr>
          <w:trHeight w:val="1604" w:hRule="atLeast"/>
          <w:jc w:val="center"/>
        </w:trPr>
        <w:tc>
          <w:tcPr>
            <w:tcW w:w="1240" w:type="dxa"/>
            <w:tcBorders>
              <w:top w:val="single" w:color="auto" w:sz="4" w:space="0"/>
              <w:left w:val="single" w:color="auto" w:sz="6" w:space="0"/>
              <w:bottom w:val="single" w:color="auto" w:sz="6" w:space="0"/>
              <w:right w:val="single" w:color="auto" w:sz="6" w:space="0"/>
            </w:tcBorders>
            <w:vAlign w:val="center"/>
          </w:tcPr>
          <w:p w14:paraId="654FF0FE">
            <w:pPr>
              <w:autoSpaceDE w:val="0"/>
              <w:autoSpaceDN w:val="0"/>
              <w:jc w:val="center"/>
              <w:rPr>
                <w:rFonts w:ascii="宋体" w:hAnsi="宋体" w:eastAsia="宋体" w:cs="宋体"/>
                <w:sz w:val="18"/>
                <w:szCs w:val="18"/>
              </w:rPr>
            </w:pPr>
            <w:r>
              <w:rPr>
                <w:rFonts w:hint="eastAsia" w:ascii="宋体" w:hAnsi="宋体" w:eastAsia="宋体" w:cs="宋体"/>
                <w:sz w:val="18"/>
                <w:szCs w:val="18"/>
              </w:rPr>
              <w:t>招商银行股份有限公司十堰分行</w:t>
            </w:r>
          </w:p>
        </w:tc>
        <w:tc>
          <w:tcPr>
            <w:tcW w:w="5552" w:type="dxa"/>
            <w:tcBorders>
              <w:top w:val="single" w:color="auto" w:sz="4" w:space="0"/>
              <w:left w:val="single" w:color="auto" w:sz="6" w:space="0"/>
              <w:bottom w:val="single" w:color="auto" w:sz="6" w:space="0"/>
              <w:right w:val="single" w:color="auto" w:sz="6" w:space="0"/>
            </w:tcBorders>
            <w:vAlign w:val="center"/>
          </w:tcPr>
          <w:p w14:paraId="1C5F667B">
            <w:pPr>
              <w:autoSpaceDE w:val="0"/>
              <w:autoSpaceDN w:val="0"/>
              <w:rPr>
                <w:rFonts w:ascii="宋体" w:hAnsi="宋体" w:eastAsia="宋体" w:cs="宋体"/>
                <w:sz w:val="18"/>
                <w:szCs w:val="18"/>
              </w:rPr>
            </w:pPr>
            <w:r>
              <w:rPr>
                <w:rFonts w:hint="eastAsia" w:ascii="宋体" w:hAnsi="宋体" w:eastAsia="宋体" w:cs="宋体"/>
                <w:sz w:val="18"/>
                <w:szCs w:val="18"/>
              </w:rPr>
              <w:t>1.依托于在湖北省政府采购网上公示的政府采购合同，对供应商提供无抵押贷款并能够在线审批和放款</w:t>
            </w:r>
            <w:r>
              <w:rPr>
                <w:rFonts w:hint="eastAsia" w:ascii="宋体" w:hAnsi="宋体" w:cs="宋体"/>
                <w:sz w:val="18"/>
                <w:szCs w:val="18"/>
              </w:rPr>
              <w:t>。</w:t>
            </w:r>
          </w:p>
          <w:p w14:paraId="048432BC">
            <w:pPr>
              <w:autoSpaceDE w:val="0"/>
              <w:autoSpaceDN w:val="0"/>
              <w:rPr>
                <w:rFonts w:ascii="宋体" w:hAnsi="宋体" w:cs="宋体"/>
                <w:sz w:val="18"/>
                <w:szCs w:val="18"/>
              </w:rPr>
            </w:pPr>
            <w:r>
              <w:rPr>
                <w:rFonts w:hint="eastAsia" w:ascii="宋体" w:hAnsi="宋体" w:cs="宋体"/>
                <w:sz w:val="18"/>
                <w:szCs w:val="18"/>
              </w:rPr>
              <w:t>2.银行融资利率原则上比同期企业流动资金贷款利率低20%以上。</w:t>
            </w:r>
          </w:p>
          <w:p w14:paraId="4C250909">
            <w:pPr>
              <w:autoSpaceDE w:val="0"/>
              <w:autoSpaceDN w:val="0"/>
              <w:rPr>
                <w:rFonts w:ascii="宋体" w:hAnsi="宋体" w:eastAsia="宋体" w:cs="宋体"/>
                <w:sz w:val="18"/>
                <w:szCs w:val="18"/>
              </w:rPr>
            </w:pPr>
            <w:r>
              <w:rPr>
                <w:rFonts w:hint="eastAsia" w:ascii="宋体" w:hAnsi="宋体" w:cs="宋体"/>
                <w:sz w:val="18"/>
                <w:szCs w:val="18"/>
              </w:rPr>
              <w:t>3.</w:t>
            </w:r>
            <w:r>
              <w:rPr>
                <w:rFonts w:hint="eastAsia" w:ascii="宋体" w:hAnsi="宋体" w:eastAsia="宋体" w:cs="宋体"/>
                <w:sz w:val="18"/>
                <w:szCs w:val="18"/>
              </w:rPr>
              <w:t>审批和放款流程便捷高效</w:t>
            </w:r>
            <w:r>
              <w:rPr>
                <w:rFonts w:hint="eastAsia" w:ascii="宋体" w:hAnsi="宋体" w:cs="宋体"/>
                <w:sz w:val="18"/>
                <w:szCs w:val="18"/>
              </w:rPr>
              <w:t>，</w:t>
            </w:r>
            <w:r>
              <w:rPr>
                <w:rFonts w:hint="eastAsia" w:ascii="宋体" w:hAnsi="宋体" w:eastAsia="宋体" w:cs="宋体"/>
                <w:sz w:val="18"/>
                <w:szCs w:val="18"/>
              </w:rPr>
              <w:t>从客户提交融资需求到放款</w:t>
            </w:r>
            <w:r>
              <w:rPr>
                <w:rFonts w:hint="eastAsia" w:ascii="宋体" w:hAnsi="宋体" w:cs="宋体"/>
                <w:sz w:val="18"/>
                <w:szCs w:val="18"/>
              </w:rPr>
              <w:t>一般需4-5天。</w:t>
            </w:r>
          </w:p>
        </w:tc>
        <w:tc>
          <w:tcPr>
            <w:tcW w:w="812" w:type="dxa"/>
            <w:tcBorders>
              <w:top w:val="single" w:color="auto" w:sz="4" w:space="0"/>
              <w:left w:val="single" w:color="auto" w:sz="6" w:space="0"/>
              <w:bottom w:val="single" w:color="auto" w:sz="6" w:space="0"/>
              <w:right w:val="single" w:color="auto" w:sz="6" w:space="0"/>
            </w:tcBorders>
            <w:vAlign w:val="center"/>
          </w:tcPr>
          <w:p w14:paraId="76C6838A">
            <w:pPr>
              <w:autoSpaceDE w:val="0"/>
              <w:autoSpaceDN w:val="0"/>
              <w:jc w:val="center"/>
              <w:rPr>
                <w:rFonts w:ascii="宋体" w:hAnsi="宋体" w:eastAsia="宋体" w:cs="宋体"/>
                <w:sz w:val="18"/>
                <w:szCs w:val="18"/>
              </w:rPr>
            </w:pPr>
            <w:r>
              <w:rPr>
                <w:rFonts w:hint="eastAsia" w:ascii="宋体" w:hAnsi="宋体" w:eastAsia="宋体" w:cs="宋体"/>
                <w:sz w:val="18"/>
                <w:szCs w:val="18"/>
              </w:rPr>
              <w:t>梁经理</w:t>
            </w:r>
          </w:p>
        </w:tc>
        <w:tc>
          <w:tcPr>
            <w:tcW w:w="1276" w:type="dxa"/>
            <w:tcBorders>
              <w:top w:val="single" w:color="auto" w:sz="4" w:space="0"/>
              <w:left w:val="single" w:color="auto" w:sz="6" w:space="0"/>
              <w:bottom w:val="single" w:color="auto" w:sz="6" w:space="0"/>
              <w:right w:val="single" w:color="auto" w:sz="6" w:space="0"/>
            </w:tcBorders>
            <w:vAlign w:val="center"/>
          </w:tcPr>
          <w:p w14:paraId="70D069C9">
            <w:pPr>
              <w:autoSpaceDE w:val="0"/>
              <w:autoSpaceDN w:val="0"/>
              <w:jc w:val="center"/>
              <w:rPr>
                <w:rFonts w:ascii="宋体" w:hAnsi="宋体" w:eastAsia="宋体" w:cs="宋体"/>
                <w:sz w:val="18"/>
                <w:szCs w:val="18"/>
              </w:rPr>
            </w:pPr>
            <w:r>
              <w:rPr>
                <w:rFonts w:hint="eastAsia" w:ascii="宋体" w:hAnsi="宋体" w:eastAsia="宋体" w:cs="宋体"/>
                <w:sz w:val="18"/>
                <w:szCs w:val="18"/>
              </w:rPr>
              <w:t>18627938975</w:t>
            </w:r>
          </w:p>
        </w:tc>
      </w:tr>
      <w:tr w14:paraId="28E6F7D7">
        <w:tblPrEx>
          <w:tblCellMar>
            <w:top w:w="0" w:type="dxa"/>
            <w:left w:w="108" w:type="dxa"/>
            <w:bottom w:w="0" w:type="dxa"/>
            <w:right w:w="108" w:type="dxa"/>
          </w:tblCellMar>
        </w:tblPrEx>
        <w:trPr>
          <w:trHeight w:val="1609" w:hRule="atLeast"/>
          <w:jc w:val="center"/>
        </w:trPr>
        <w:tc>
          <w:tcPr>
            <w:tcW w:w="1240" w:type="dxa"/>
            <w:tcBorders>
              <w:top w:val="single" w:color="auto" w:sz="6" w:space="0"/>
              <w:left w:val="single" w:color="auto" w:sz="6" w:space="0"/>
              <w:right w:val="single" w:color="auto" w:sz="6" w:space="0"/>
            </w:tcBorders>
            <w:vAlign w:val="center"/>
          </w:tcPr>
          <w:p w14:paraId="41EF2FA6">
            <w:pPr>
              <w:autoSpaceDE w:val="0"/>
              <w:autoSpaceDN w:val="0"/>
              <w:jc w:val="center"/>
              <w:rPr>
                <w:rFonts w:ascii="宋体" w:hAnsi="宋体" w:eastAsia="宋体" w:cs="宋体"/>
                <w:sz w:val="18"/>
                <w:szCs w:val="18"/>
              </w:rPr>
            </w:pPr>
            <w:r>
              <w:rPr>
                <w:rFonts w:hint="eastAsia" w:ascii="宋体" w:hAnsi="宋体" w:eastAsia="宋体" w:cs="宋体"/>
                <w:sz w:val="18"/>
                <w:szCs w:val="18"/>
              </w:rPr>
              <w:t>兴业银行股份有限公司十堰分行</w:t>
            </w:r>
          </w:p>
        </w:tc>
        <w:tc>
          <w:tcPr>
            <w:tcW w:w="5552" w:type="dxa"/>
            <w:tcBorders>
              <w:top w:val="single" w:color="auto" w:sz="6" w:space="0"/>
              <w:left w:val="single" w:color="auto" w:sz="6" w:space="0"/>
              <w:bottom w:val="single" w:color="auto" w:sz="6" w:space="0"/>
              <w:right w:val="single" w:color="auto" w:sz="6" w:space="0"/>
            </w:tcBorders>
            <w:vAlign w:val="center"/>
          </w:tcPr>
          <w:p w14:paraId="42574D85">
            <w:pPr>
              <w:autoSpaceDE w:val="0"/>
              <w:autoSpaceDN w:val="0"/>
              <w:jc w:val="left"/>
              <w:rPr>
                <w:rFonts w:ascii="宋体" w:hAnsi="宋体" w:eastAsia="宋体" w:cs="宋体"/>
                <w:sz w:val="18"/>
                <w:szCs w:val="18"/>
              </w:rPr>
            </w:pPr>
            <w:r>
              <w:rPr>
                <w:rFonts w:hint="eastAsia" w:ascii="宋体" w:hAnsi="宋体" w:cs="宋体"/>
                <w:sz w:val="18"/>
                <w:szCs w:val="18"/>
              </w:rPr>
              <w:t>1.</w:t>
            </w:r>
            <w:r>
              <w:rPr>
                <w:rFonts w:hint="eastAsia" w:ascii="宋体" w:hAnsi="宋体" w:eastAsia="宋体" w:cs="宋体"/>
                <w:sz w:val="18"/>
                <w:szCs w:val="18"/>
              </w:rPr>
              <w:t>线上融资产品，申请手续简便，线上审批授信额度</w:t>
            </w:r>
            <w:r>
              <w:rPr>
                <w:rFonts w:hint="eastAsia" w:ascii="宋体" w:hAnsi="宋体" w:cs="宋体"/>
                <w:sz w:val="18"/>
                <w:szCs w:val="18"/>
              </w:rPr>
              <w:t>。</w:t>
            </w:r>
            <w:r>
              <w:rPr>
                <w:rFonts w:hint="eastAsia" w:ascii="宋体" w:hAnsi="宋体" w:eastAsia="宋体" w:cs="宋体"/>
                <w:sz w:val="18"/>
                <w:szCs w:val="18"/>
              </w:rPr>
              <w:t>授信额度最高达500万元</w:t>
            </w:r>
            <w:r>
              <w:rPr>
                <w:rFonts w:hint="eastAsia" w:ascii="宋体" w:hAnsi="宋体" w:cs="宋体"/>
                <w:sz w:val="18"/>
                <w:szCs w:val="18"/>
              </w:rPr>
              <w:t>。</w:t>
            </w:r>
          </w:p>
          <w:p w14:paraId="1BB58CAD">
            <w:pPr>
              <w:autoSpaceDE w:val="0"/>
              <w:autoSpaceDN w:val="0"/>
              <w:rPr>
                <w:rFonts w:ascii="宋体" w:hAnsi="宋体" w:cs="宋体"/>
                <w:sz w:val="18"/>
                <w:szCs w:val="18"/>
              </w:rPr>
            </w:pPr>
            <w:r>
              <w:rPr>
                <w:rFonts w:hint="eastAsia" w:ascii="宋体" w:hAnsi="宋体" w:cs="宋体"/>
                <w:sz w:val="18"/>
                <w:szCs w:val="18"/>
              </w:rPr>
              <w:t>2.银行融资利率原则上比同期企业流动资金贷款利率低20%以上。</w:t>
            </w:r>
          </w:p>
          <w:p w14:paraId="3E0E3667">
            <w:pPr>
              <w:autoSpaceDE w:val="0"/>
              <w:autoSpaceDN w:val="0"/>
              <w:jc w:val="left"/>
              <w:rPr>
                <w:rFonts w:ascii="宋体" w:hAnsi="宋体" w:eastAsia="宋体" w:cs="宋体"/>
                <w:sz w:val="18"/>
                <w:szCs w:val="18"/>
              </w:rPr>
            </w:pPr>
            <w:r>
              <w:rPr>
                <w:rFonts w:hint="eastAsia" w:ascii="宋体" w:hAnsi="宋体" w:cs="宋体"/>
                <w:sz w:val="18"/>
                <w:szCs w:val="18"/>
              </w:rPr>
              <w:t>3.</w:t>
            </w:r>
            <w:r>
              <w:rPr>
                <w:rFonts w:hint="eastAsia" w:ascii="宋体" w:hAnsi="宋体" w:eastAsia="宋体" w:cs="宋体"/>
                <w:sz w:val="18"/>
                <w:szCs w:val="18"/>
              </w:rPr>
              <w:t>从客户提交融资需求到放款</w:t>
            </w:r>
            <w:r>
              <w:rPr>
                <w:rFonts w:hint="eastAsia" w:ascii="宋体" w:hAnsi="宋体" w:cs="宋体"/>
                <w:sz w:val="18"/>
                <w:szCs w:val="18"/>
              </w:rPr>
              <w:t>一般需2周。</w:t>
            </w:r>
          </w:p>
          <w:p w14:paraId="5349255C">
            <w:pPr>
              <w:autoSpaceDE w:val="0"/>
              <w:autoSpaceDN w:val="0"/>
              <w:jc w:val="left"/>
              <w:rPr>
                <w:rFonts w:ascii="宋体" w:hAnsi="宋体" w:eastAsia="宋体" w:cs="宋体"/>
                <w:sz w:val="18"/>
                <w:szCs w:val="18"/>
              </w:rPr>
            </w:pPr>
            <w:r>
              <w:rPr>
                <w:rFonts w:hint="eastAsia" w:ascii="宋体" w:hAnsi="宋体" w:cs="宋体"/>
                <w:sz w:val="18"/>
                <w:szCs w:val="18"/>
              </w:rPr>
              <w:t>4.</w:t>
            </w:r>
            <w:r>
              <w:rPr>
                <w:rFonts w:hint="eastAsia" w:ascii="宋体" w:hAnsi="宋体" w:eastAsia="宋体" w:cs="宋体"/>
                <w:sz w:val="18"/>
                <w:szCs w:val="18"/>
              </w:rPr>
              <w:t>还款方式灵活，额度可循环使用。</w:t>
            </w:r>
          </w:p>
        </w:tc>
        <w:tc>
          <w:tcPr>
            <w:tcW w:w="812" w:type="dxa"/>
            <w:tcBorders>
              <w:top w:val="single" w:color="auto" w:sz="6" w:space="0"/>
              <w:left w:val="single" w:color="auto" w:sz="6" w:space="0"/>
              <w:right w:val="single" w:color="auto" w:sz="6" w:space="0"/>
            </w:tcBorders>
            <w:vAlign w:val="center"/>
          </w:tcPr>
          <w:p w14:paraId="25EC8204">
            <w:pPr>
              <w:autoSpaceDE w:val="0"/>
              <w:autoSpaceDN w:val="0"/>
              <w:jc w:val="center"/>
              <w:rPr>
                <w:rFonts w:ascii="宋体" w:hAnsi="宋体" w:eastAsia="宋体" w:cs="宋体"/>
                <w:sz w:val="18"/>
                <w:szCs w:val="18"/>
              </w:rPr>
            </w:pPr>
            <w:r>
              <w:rPr>
                <w:rFonts w:hint="eastAsia" w:ascii="宋体" w:hAnsi="宋体" w:eastAsia="宋体" w:cs="宋体"/>
                <w:sz w:val="18"/>
                <w:szCs w:val="18"/>
              </w:rPr>
              <w:t>张</w:t>
            </w:r>
            <w:r>
              <w:rPr>
                <w:rFonts w:hint="eastAsia" w:ascii="宋体" w:hAnsi="宋体" w:cs="宋体"/>
                <w:sz w:val="18"/>
                <w:szCs w:val="18"/>
              </w:rPr>
              <w:t xml:space="preserve"> </w:t>
            </w:r>
            <w:r>
              <w:rPr>
                <w:rFonts w:hint="eastAsia" w:ascii="宋体" w:hAnsi="宋体" w:eastAsia="宋体" w:cs="宋体"/>
                <w:sz w:val="18"/>
                <w:szCs w:val="18"/>
              </w:rPr>
              <w:t>政</w:t>
            </w:r>
          </w:p>
        </w:tc>
        <w:tc>
          <w:tcPr>
            <w:tcW w:w="1276" w:type="dxa"/>
            <w:tcBorders>
              <w:top w:val="single" w:color="auto" w:sz="6" w:space="0"/>
              <w:left w:val="single" w:color="auto" w:sz="6" w:space="0"/>
              <w:right w:val="single" w:color="auto" w:sz="6" w:space="0"/>
            </w:tcBorders>
            <w:vAlign w:val="center"/>
          </w:tcPr>
          <w:p w14:paraId="65337D1B">
            <w:pPr>
              <w:autoSpaceDE w:val="0"/>
              <w:autoSpaceDN w:val="0"/>
              <w:jc w:val="center"/>
              <w:rPr>
                <w:rFonts w:ascii="宋体" w:hAnsi="宋体" w:eastAsia="宋体" w:cs="宋体"/>
                <w:sz w:val="18"/>
                <w:szCs w:val="18"/>
              </w:rPr>
            </w:pPr>
            <w:r>
              <w:rPr>
                <w:rFonts w:hint="eastAsia" w:ascii="宋体" w:hAnsi="宋体" w:eastAsia="宋体" w:cs="宋体"/>
                <w:sz w:val="18"/>
                <w:szCs w:val="18"/>
              </w:rPr>
              <w:t>15971915800</w:t>
            </w:r>
          </w:p>
        </w:tc>
      </w:tr>
      <w:tr w14:paraId="4B3EFF69">
        <w:tblPrEx>
          <w:tblCellMar>
            <w:top w:w="0" w:type="dxa"/>
            <w:left w:w="108" w:type="dxa"/>
            <w:bottom w:w="0" w:type="dxa"/>
            <w:right w:w="108" w:type="dxa"/>
          </w:tblCellMar>
        </w:tblPrEx>
        <w:trPr>
          <w:trHeight w:val="1306" w:hRule="atLeast"/>
          <w:jc w:val="center"/>
        </w:trPr>
        <w:tc>
          <w:tcPr>
            <w:tcW w:w="1240" w:type="dxa"/>
            <w:tcBorders>
              <w:top w:val="single" w:color="auto" w:sz="6" w:space="0"/>
              <w:left w:val="single" w:color="auto" w:sz="6" w:space="0"/>
              <w:bottom w:val="single" w:color="auto" w:sz="6" w:space="0"/>
              <w:right w:val="single" w:color="auto" w:sz="6" w:space="0"/>
            </w:tcBorders>
            <w:vAlign w:val="center"/>
          </w:tcPr>
          <w:p w14:paraId="0DE33445">
            <w:pPr>
              <w:autoSpaceDE w:val="0"/>
              <w:autoSpaceDN w:val="0"/>
              <w:jc w:val="center"/>
              <w:rPr>
                <w:rFonts w:ascii="宋体" w:hAnsi="宋体" w:eastAsia="宋体" w:cs="宋体"/>
                <w:sz w:val="18"/>
                <w:szCs w:val="18"/>
              </w:rPr>
            </w:pPr>
            <w:r>
              <w:rPr>
                <w:rFonts w:hint="eastAsia" w:ascii="宋体" w:hAnsi="宋体" w:eastAsia="宋体" w:cs="宋体"/>
                <w:sz w:val="18"/>
                <w:szCs w:val="18"/>
              </w:rPr>
              <w:t>中国邮政储蓄银行股份有限公司十堰市分行</w:t>
            </w:r>
          </w:p>
        </w:tc>
        <w:tc>
          <w:tcPr>
            <w:tcW w:w="5552" w:type="dxa"/>
            <w:tcBorders>
              <w:top w:val="single" w:color="auto" w:sz="6" w:space="0"/>
              <w:left w:val="single" w:color="auto" w:sz="6" w:space="0"/>
              <w:bottom w:val="single" w:color="auto" w:sz="6" w:space="0"/>
              <w:right w:val="single" w:color="auto" w:sz="6" w:space="0"/>
            </w:tcBorders>
            <w:vAlign w:val="center"/>
          </w:tcPr>
          <w:p w14:paraId="11F5CC15">
            <w:pPr>
              <w:autoSpaceDE w:val="0"/>
              <w:autoSpaceDN w:val="0"/>
              <w:jc w:val="left"/>
              <w:rPr>
                <w:rFonts w:ascii="宋体" w:hAnsi="宋体" w:cs="宋体"/>
                <w:sz w:val="18"/>
                <w:szCs w:val="18"/>
              </w:rPr>
            </w:pPr>
            <w:r>
              <w:rPr>
                <w:rFonts w:hint="eastAsia" w:ascii="宋体" w:hAnsi="宋体" w:eastAsia="宋体" w:cs="宋体"/>
                <w:sz w:val="18"/>
                <w:szCs w:val="18"/>
              </w:rPr>
              <w:t>1.纯信用无抵押，线上申请，随借随还，最高授信500万元</w:t>
            </w:r>
            <w:r>
              <w:rPr>
                <w:rFonts w:hint="eastAsia" w:ascii="宋体" w:hAnsi="宋体" w:cs="宋体"/>
                <w:sz w:val="18"/>
                <w:szCs w:val="18"/>
              </w:rPr>
              <w:t>。</w:t>
            </w:r>
          </w:p>
          <w:p w14:paraId="7BC0A930">
            <w:pPr>
              <w:autoSpaceDE w:val="0"/>
              <w:autoSpaceDN w:val="0"/>
              <w:rPr>
                <w:rFonts w:ascii="宋体" w:hAnsi="宋体" w:cs="宋体"/>
                <w:sz w:val="18"/>
                <w:szCs w:val="18"/>
              </w:rPr>
            </w:pPr>
            <w:r>
              <w:rPr>
                <w:rFonts w:hint="eastAsia" w:ascii="宋体" w:hAnsi="宋体" w:cs="宋体"/>
                <w:sz w:val="18"/>
                <w:szCs w:val="18"/>
              </w:rPr>
              <w:t>2.银行融资利率原则上比同期企业流动资金贷款利率低20%以上。</w:t>
            </w:r>
          </w:p>
          <w:p w14:paraId="05ACADF6">
            <w:pPr>
              <w:autoSpaceDE w:val="0"/>
              <w:autoSpaceDN w:val="0"/>
              <w:jc w:val="left"/>
              <w:rPr>
                <w:rFonts w:ascii="宋体" w:hAnsi="宋体" w:cs="宋体"/>
                <w:sz w:val="18"/>
                <w:szCs w:val="18"/>
              </w:rPr>
            </w:pPr>
            <w:r>
              <w:rPr>
                <w:rFonts w:hint="eastAsia" w:ascii="宋体" w:hAnsi="宋体" w:cs="宋体"/>
                <w:sz w:val="18"/>
                <w:szCs w:val="18"/>
              </w:rPr>
              <w:t>3.</w:t>
            </w:r>
            <w:r>
              <w:rPr>
                <w:rFonts w:hint="eastAsia" w:ascii="宋体" w:hAnsi="宋体" w:eastAsia="宋体" w:cs="宋体"/>
                <w:sz w:val="18"/>
                <w:szCs w:val="18"/>
              </w:rPr>
              <w:t>从客户提交融资需求到放款</w:t>
            </w:r>
            <w:r>
              <w:rPr>
                <w:rFonts w:hint="eastAsia" w:ascii="宋体" w:hAnsi="宋体" w:cs="宋体"/>
                <w:sz w:val="18"/>
                <w:szCs w:val="18"/>
              </w:rPr>
              <w:t>一般需3天。</w:t>
            </w:r>
          </w:p>
        </w:tc>
        <w:tc>
          <w:tcPr>
            <w:tcW w:w="812" w:type="dxa"/>
            <w:tcBorders>
              <w:top w:val="single" w:color="auto" w:sz="6" w:space="0"/>
              <w:left w:val="single" w:color="auto" w:sz="6" w:space="0"/>
              <w:bottom w:val="single" w:color="auto" w:sz="6" w:space="0"/>
              <w:right w:val="single" w:color="auto" w:sz="6" w:space="0"/>
            </w:tcBorders>
            <w:vAlign w:val="center"/>
          </w:tcPr>
          <w:p w14:paraId="2EF74841">
            <w:pPr>
              <w:autoSpaceDE w:val="0"/>
              <w:autoSpaceDN w:val="0"/>
              <w:jc w:val="center"/>
              <w:rPr>
                <w:rFonts w:ascii="宋体" w:hAnsi="宋体" w:eastAsia="宋体" w:cs="宋体"/>
                <w:sz w:val="18"/>
                <w:szCs w:val="18"/>
              </w:rPr>
            </w:pPr>
            <w:r>
              <w:rPr>
                <w:rFonts w:hint="eastAsia" w:ascii="宋体" w:hAnsi="宋体" w:eastAsia="宋体" w:cs="宋体"/>
                <w:sz w:val="18"/>
                <w:szCs w:val="18"/>
              </w:rPr>
              <w:t>王</w:t>
            </w:r>
            <w:r>
              <w:rPr>
                <w:rFonts w:hint="eastAsia" w:ascii="宋体" w:hAnsi="宋体" w:cs="宋体"/>
                <w:sz w:val="18"/>
                <w:szCs w:val="18"/>
              </w:rPr>
              <w:t xml:space="preserve"> </w:t>
            </w:r>
            <w:r>
              <w:rPr>
                <w:rFonts w:hint="eastAsia" w:ascii="宋体" w:hAnsi="宋体" w:eastAsia="宋体" w:cs="宋体"/>
                <w:sz w:val="18"/>
                <w:szCs w:val="18"/>
              </w:rPr>
              <w:t>丽</w:t>
            </w:r>
          </w:p>
        </w:tc>
        <w:tc>
          <w:tcPr>
            <w:tcW w:w="1276" w:type="dxa"/>
            <w:tcBorders>
              <w:top w:val="single" w:color="auto" w:sz="6" w:space="0"/>
              <w:left w:val="single" w:color="auto" w:sz="6" w:space="0"/>
              <w:bottom w:val="single" w:color="auto" w:sz="6" w:space="0"/>
              <w:right w:val="single" w:color="auto" w:sz="6" w:space="0"/>
            </w:tcBorders>
            <w:vAlign w:val="center"/>
          </w:tcPr>
          <w:p w14:paraId="156E3805">
            <w:pPr>
              <w:autoSpaceDE w:val="0"/>
              <w:autoSpaceDN w:val="0"/>
              <w:jc w:val="center"/>
              <w:rPr>
                <w:rFonts w:ascii="宋体" w:hAnsi="宋体" w:eastAsia="宋体" w:cs="宋体"/>
                <w:sz w:val="18"/>
                <w:szCs w:val="18"/>
              </w:rPr>
            </w:pPr>
            <w:r>
              <w:rPr>
                <w:rFonts w:hint="eastAsia" w:ascii="宋体" w:hAnsi="宋体" w:eastAsia="宋体" w:cs="宋体"/>
                <w:sz w:val="18"/>
                <w:szCs w:val="18"/>
              </w:rPr>
              <w:t>8897801</w:t>
            </w:r>
          </w:p>
        </w:tc>
      </w:tr>
    </w:tbl>
    <w:p w14:paraId="18A5EEEA">
      <w:pPr>
        <w:jc w:val="center"/>
        <w:rPr>
          <w:rFonts w:ascii="宋体"/>
          <w:b/>
          <w:bCs/>
          <w:szCs w:val="21"/>
        </w:rPr>
      </w:pPr>
    </w:p>
    <w:p w14:paraId="30D7B438">
      <w:pPr>
        <w:jc w:val="center"/>
        <w:rPr>
          <w:rFonts w:ascii="宋体"/>
          <w:b/>
          <w:bCs/>
          <w:szCs w:val="21"/>
        </w:rPr>
      </w:pPr>
    </w:p>
    <w:p w14:paraId="6D28CB5C">
      <w:pPr>
        <w:jc w:val="center"/>
        <w:rPr>
          <w:rFonts w:ascii="宋体"/>
          <w:b/>
          <w:bCs/>
          <w:szCs w:val="21"/>
        </w:rPr>
      </w:pPr>
    </w:p>
    <w:p w14:paraId="23E5AE88">
      <w:pPr>
        <w:jc w:val="center"/>
        <w:outlineLvl w:val="1"/>
        <w:rPr>
          <w:rFonts w:ascii="宋体" w:eastAsia="宋体"/>
          <w:b/>
          <w:bCs/>
          <w:szCs w:val="21"/>
        </w:rPr>
      </w:pPr>
      <w:bookmarkStart w:id="15" w:name="_Toc32108"/>
      <w:bookmarkStart w:id="16" w:name="_Toc1782"/>
      <w:r>
        <w:rPr>
          <w:rFonts w:hint="eastAsia" w:ascii="宋体"/>
          <w:b/>
          <w:bCs/>
          <w:szCs w:val="21"/>
        </w:rPr>
        <w:t>十堰市</w:t>
      </w:r>
      <w:r>
        <w:rPr>
          <w:rFonts w:hint="eastAsia" w:ascii="宋体" w:eastAsia="宋体"/>
          <w:b/>
          <w:bCs/>
          <w:szCs w:val="21"/>
        </w:rPr>
        <w:t>政府采购信用融资意向银行选择表</w:t>
      </w:r>
      <w:bookmarkEnd w:id="15"/>
      <w:bookmarkEnd w:id="16"/>
    </w:p>
    <w:tbl>
      <w:tblPr>
        <w:tblStyle w:val="23"/>
        <w:tblpPr w:leftFromText="180" w:rightFromText="180" w:vertAnchor="text" w:horzAnchor="page" w:tblpX="1770" w:tblpY="199"/>
        <w:tblOverlap w:val="never"/>
        <w:tblW w:w="86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668"/>
        <w:gridCol w:w="2268"/>
        <w:gridCol w:w="2268"/>
        <w:gridCol w:w="2430"/>
      </w:tblGrid>
      <w:tr w14:paraId="6BC98F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bottom w:val="single" w:color="auto" w:sz="4" w:space="0"/>
              <w:right w:val="single" w:color="auto" w:sz="4" w:space="0"/>
              <w:tl2br w:val="nil"/>
              <w:tr2bl w:val="nil"/>
            </w:tcBorders>
          </w:tcPr>
          <w:p w14:paraId="3F8294E3">
            <w:pPr>
              <w:pStyle w:val="50"/>
              <w:spacing w:line="360" w:lineRule="auto"/>
              <w:ind w:firstLine="0" w:firstLineChars="0"/>
              <w:jc w:val="center"/>
              <w:rPr>
                <w:rFonts w:ascii="宋体" w:eastAsia="宋体"/>
                <w:sz w:val="20"/>
              </w:rPr>
            </w:pPr>
            <w:r>
              <w:rPr>
                <w:rFonts w:hint="eastAsia" w:ascii="宋体" w:eastAsia="宋体"/>
                <w:kern w:val="0"/>
                <w:sz w:val="20"/>
              </w:rPr>
              <w:t>企业名称</w:t>
            </w:r>
          </w:p>
        </w:tc>
        <w:tc>
          <w:tcPr>
            <w:tcW w:w="6966" w:type="dxa"/>
            <w:gridSpan w:val="3"/>
            <w:tcBorders>
              <w:top w:val="single" w:color="auto" w:sz="4" w:space="0"/>
              <w:left w:val="single" w:color="auto" w:sz="4" w:space="0"/>
              <w:bottom w:val="single" w:color="auto" w:sz="4" w:space="0"/>
              <w:right w:val="single" w:color="auto" w:sz="4" w:space="0"/>
              <w:tl2br w:val="nil"/>
              <w:tr2bl w:val="nil"/>
            </w:tcBorders>
          </w:tcPr>
          <w:p w14:paraId="11C61648">
            <w:pPr>
              <w:pStyle w:val="50"/>
              <w:spacing w:line="360" w:lineRule="auto"/>
              <w:ind w:firstLine="0" w:firstLineChars="0"/>
              <w:jc w:val="center"/>
              <w:rPr>
                <w:rFonts w:ascii="宋体" w:eastAsia="宋体"/>
                <w:sz w:val="20"/>
              </w:rPr>
            </w:pPr>
          </w:p>
        </w:tc>
      </w:tr>
      <w:tr w14:paraId="21EC85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bottom w:val="single" w:color="auto" w:sz="4" w:space="0"/>
              <w:right w:val="single" w:color="auto" w:sz="4" w:space="0"/>
              <w:tl2br w:val="nil"/>
              <w:tr2bl w:val="nil"/>
            </w:tcBorders>
          </w:tcPr>
          <w:p w14:paraId="2C642D04">
            <w:pPr>
              <w:pStyle w:val="50"/>
              <w:spacing w:line="360" w:lineRule="auto"/>
              <w:ind w:firstLine="0" w:firstLineChars="0"/>
              <w:jc w:val="center"/>
              <w:rPr>
                <w:rFonts w:ascii="宋体" w:eastAsia="宋体"/>
                <w:sz w:val="20"/>
              </w:rPr>
            </w:pPr>
            <w:r>
              <w:rPr>
                <w:rFonts w:hint="eastAsia" w:ascii="宋体" w:eastAsia="宋体"/>
                <w:kern w:val="0"/>
                <w:sz w:val="20"/>
              </w:rPr>
              <w:t>企业注册地</w:t>
            </w:r>
          </w:p>
        </w:tc>
        <w:tc>
          <w:tcPr>
            <w:tcW w:w="2268" w:type="dxa"/>
            <w:tcBorders>
              <w:top w:val="single" w:color="auto" w:sz="4" w:space="0"/>
              <w:left w:val="single" w:color="auto" w:sz="4" w:space="0"/>
              <w:bottom w:val="single" w:color="auto" w:sz="4" w:space="0"/>
              <w:right w:val="single" w:color="auto" w:sz="4" w:space="0"/>
              <w:tl2br w:val="nil"/>
              <w:tr2bl w:val="nil"/>
            </w:tcBorders>
          </w:tcPr>
          <w:p w14:paraId="77B6B787">
            <w:pPr>
              <w:pStyle w:val="50"/>
              <w:spacing w:line="360" w:lineRule="auto"/>
              <w:ind w:firstLine="0" w:firstLineChars="0"/>
              <w:jc w:val="center"/>
              <w:rPr>
                <w:rFonts w:ascii="宋体" w:eastAsia="宋体"/>
                <w:sz w:val="20"/>
              </w:rPr>
            </w:pPr>
          </w:p>
        </w:tc>
        <w:tc>
          <w:tcPr>
            <w:tcW w:w="2268" w:type="dxa"/>
            <w:tcBorders>
              <w:top w:val="single" w:color="auto" w:sz="4" w:space="0"/>
              <w:left w:val="single" w:color="auto" w:sz="4" w:space="0"/>
              <w:bottom w:val="single" w:color="auto" w:sz="4" w:space="0"/>
              <w:right w:val="single" w:color="auto" w:sz="4" w:space="0"/>
              <w:tl2br w:val="nil"/>
              <w:tr2bl w:val="nil"/>
            </w:tcBorders>
          </w:tcPr>
          <w:p w14:paraId="473F1C0A">
            <w:pPr>
              <w:pStyle w:val="50"/>
              <w:spacing w:line="360" w:lineRule="auto"/>
              <w:ind w:firstLine="0" w:firstLineChars="0"/>
              <w:jc w:val="center"/>
              <w:rPr>
                <w:rFonts w:ascii="宋体" w:eastAsia="宋体"/>
                <w:sz w:val="20"/>
              </w:rPr>
            </w:pPr>
            <w:r>
              <w:rPr>
                <w:rFonts w:hint="eastAsia" w:ascii="宋体" w:eastAsia="宋体"/>
                <w:kern w:val="0"/>
                <w:sz w:val="20"/>
              </w:rPr>
              <w:t>是否有融资意向</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5BB40EB9">
            <w:pPr>
              <w:pStyle w:val="50"/>
              <w:spacing w:line="360" w:lineRule="auto"/>
              <w:ind w:firstLine="0" w:firstLineChars="0"/>
              <w:jc w:val="center"/>
              <w:rPr>
                <w:rFonts w:ascii="宋体" w:eastAsia="宋体"/>
                <w:sz w:val="20"/>
              </w:rPr>
            </w:pPr>
          </w:p>
        </w:tc>
      </w:tr>
      <w:tr w14:paraId="7B79B1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bottom w:val="single" w:color="auto" w:sz="4" w:space="0"/>
              <w:right w:val="single" w:color="auto" w:sz="4" w:space="0"/>
              <w:tl2br w:val="nil"/>
              <w:tr2bl w:val="nil"/>
            </w:tcBorders>
          </w:tcPr>
          <w:p w14:paraId="59FB2253">
            <w:pPr>
              <w:pStyle w:val="50"/>
              <w:spacing w:line="360" w:lineRule="auto"/>
              <w:ind w:firstLine="0" w:firstLineChars="0"/>
              <w:jc w:val="center"/>
              <w:rPr>
                <w:rFonts w:ascii="宋体" w:eastAsia="宋体"/>
                <w:sz w:val="20"/>
              </w:rPr>
            </w:pPr>
            <w:r>
              <w:rPr>
                <w:rFonts w:hint="eastAsia" w:ascii="宋体" w:eastAsia="宋体"/>
                <w:kern w:val="0"/>
                <w:sz w:val="20"/>
              </w:rPr>
              <w:t>融资联系人</w:t>
            </w:r>
          </w:p>
        </w:tc>
        <w:tc>
          <w:tcPr>
            <w:tcW w:w="2268" w:type="dxa"/>
            <w:tcBorders>
              <w:top w:val="single" w:color="auto" w:sz="4" w:space="0"/>
              <w:left w:val="single" w:color="auto" w:sz="4" w:space="0"/>
              <w:bottom w:val="single" w:color="auto" w:sz="4" w:space="0"/>
              <w:right w:val="single" w:color="auto" w:sz="4" w:space="0"/>
              <w:tl2br w:val="nil"/>
              <w:tr2bl w:val="nil"/>
            </w:tcBorders>
          </w:tcPr>
          <w:p w14:paraId="08F6F3E3">
            <w:pPr>
              <w:pStyle w:val="50"/>
              <w:spacing w:line="360" w:lineRule="auto"/>
              <w:ind w:firstLine="0" w:firstLineChars="0"/>
              <w:jc w:val="center"/>
              <w:rPr>
                <w:rFonts w:ascii="宋体" w:eastAsia="宋体"/>
                <w:sz w:val="20"/>
              </w:rPr>
            </w:pPr>
          </w:p>
        </w:tc>
        <w:tc>
          <w:tcPr>
            <w:tcW w:w="2268" w:type="dxa"/>
            <w:tcBorders>
              <w:top w:val="single" w:color="auto" w:sz="4" w:space="0"/>
              <w:left w:val="single" w:color="auto" w:sz="4" w:space="0"/>
              <w:bottom w:val="single" w:color="auto" w:sz="4" w:space="0"/>
              <w:right w:val="single" w:color="auto" w:sz="4" w:space="0"/>
              <w:tl2br w:val="nil"/>
              <w:tr2bl w:val="nil"/>
            </w:tcBorders>
          </w:tcPr>
          <w:p w14:paraId="4BAED95C">
            <w:pPr>
              <w:pStyle w:val="50"/>
              <w:spacing w:line="360" w:lineRule="auto"/>
              <w:ind w:firstLine="0" w:firstLineChars="0"/>
              <w:jc w:val="center"/>
              <w:rPr>
                <w:rFonts w:ascii="宋体" w:eastAsia="宋体"/>
                <w:sz w:val="20"/>
              </w:rPr>
            </w:pPr>
            <w:r>
              <w:rPr>
                <w:rFonts w:hint="eastAsia" w:ascii="宋体" w:eastAsia="宋体"/>
                <w:kern w:val="0"/>
                <w:sz w:val="20"/>
              </w:rPr>
              <w:t>联系方式</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0A711AD3">
            <w:pPr>
              <w:pStyle w:val="50"/>
              <w:spacing w:line="360" w:lineRule="auto"/>
              <w:ind w:firstLine="0" w:firstLineChars="0"/>
              <w:jc w:val="center"/>
              <w:rPr>
                <w:rFonts w:ascii="宋体" w:eastAsia="宋体"/>
                <w:sz w:val="20"/>
              </w:rPr>
            </w:pPr>
          </w:p>
        </w:tc>
      </w:tr>
      <w:tr w14:paraId="307F96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7" w:hRule="atLeast"/>
        </w:trPr>
        <w:tc>
          <w:tcPr>
            <w:tcW w:w="620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585968D">
            <w:pPr>
              <w:pStyle w:val="50"/>
              <w:spacing w:line="360" w:lineRule="auto"/>
              <w:ind w:firstLine="0" w:firstLineChars="0"/>
              <w:jc w:val="center"/>
              <w:rPr>
                <w:rFonts w:ascii="宋体" w:eastAsia="宋体"/>
                <w:sz w:val="20"/>
              </w:rPr>
            </w:pPr>
            <w:r>
              <w:rPr>
                <w:rFonts w:hint="eastAsia" w:ascii="宋体" w:eastAsia="宋体"/>
                <w:kern w:val="0"/>
                <w:sz w:val="20"/>
              </w:rPr>
              <w:t>十堰市政府采购信用融资合作银行</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45E363C4">
            <w:pPr>
              <w:pStyle w:val="50"/>
              <w:spacing w:line="360" w:lineRule="auto"/>
              <w:ind w:firstLine="0" w:firstLineChars="0"/>
              <w:jc w:val="center"/>
              <w:rPr>
                <w:rFonts w:ascii="宋体" w:eastAsia="宋体"/>
                <w:sz w:val="20"/>
              </w:rPr>
            </w:pPr>
            <w:r>
              <w:rPr>
                <w:rFonts w:hint="eastAsia" w:ascii="宋体" w:eastAsia="宋体"/>
                <w:kern w:val="0"/>
                <w:sz w:val="20"/>
              </w:rPr>
              <w:t>选择作为意向融资银行</w:t>
            </w:r>
          </w:p>
        </w:tc>
      </w:tr>
      <w:tr w14:paraId="5D9A1C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7" w:hRule="atLeast"/>
        </w:trPr>
        <w:tc>
          <w:tcPr>
            <w:tcW w:w="6204" w:type="dxa"/>
            <w:gridSpan w:val="3"/>
            <w:tcBorders>
              <w:top w:val="single" w:color="auto" w:sz="4" w:space="0"/>
              <w:left w:val="single" w:color="auto" w:sz="4" w:space="0"/>
              <w:bottom w:val="single" w:color="auto" w:sz="4" w:space="0"/>
              <w:right w:val="single" w:color="auto" w:sz="4" w:space="0"/>
              <w:tl2br w:val="nil"/>
              <w:tr2bl w:val="nil"/>
            </w:tcBorders>
          </w:tcPr>
          <w:p w14:paraId="67EACC69">
            <w:pPr>
              <w:pStyle w:val="50"/>
              <w:spacing w:line="360" w:lineRule="auto"/>
              <w:ind w:firstLine="0" w:firstLineChars="0"/>
              <w:rPr>
                <w:rFonts w:ascii="宋体" w:eastAsia="宋体"/>
                <w:sz w:val="20"/>
              </w:rPr>
            </w:pPr>
            <w:r>
              <w:rPr>
                <w:rFonts w:hint="eastAsia" w:ascii="宋体" w:eastAsia="宋体"/>
                <w:sz w:val="20"/>
              </w:rPr>
              <w:t>中国建设银行股份有限公司十堰分行</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41BA8609">
            <w:pPr>
              <w:pStyle w:val="50"/>
              <w:spacing w:line="360" w:lineRule="auto"/>
              <w:ind w:firstLine="0" w:firstLineChars="0"/>
              <w:rPr>
                <w:rFonts w:ascii="宋体" w:eastAsia="宋体"/>
                <w:sz w:val="20"/>
              </w:rPr>
            </w:pPr>
          </w:p>
        </w:tc>
      </w:tr>
      <w:tr w14:paraId="5B276F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7" w:hRule="atLeast"/>
        </w:trPr>
        <w:tc>
          <w:tcPr>
            <w:tcW w:w="6204" w:type="dxa"/>
            <w:gridSpan w:val="3"/>
            <w:tcBorders>
              <w:top w:val="single" w:color="auto" w:sz="4" w:space="0"/>
              <w:left w:val="single" w:color="auto" w:sz="4" w:space="0"/>
              <w:bottom w:val="single" w:color="auto" w:sz="4" w:space="0"/>
              <w:right w:val="single" w:color="auto" w:sz="4" w:space="0"/>
              <w:tl2br w:val="nil"/>
              <w:tr2bl w:val="nil"/>
            </w:tcBorders>
          </w:tcPr>
          <w:p w14:paraId="2ED863FA">
            <w:pPr>
              <w:pStyle w:val="50"/>
              <w:spacing w:line="360" w:lineRule="auto"/>
              <w:ind w:firstLine="0" w:firstLineChars="0"/>
              <w:rPr>
                <w:rFonts w:ascii="宋体" w:eastAsia="宋体"/>
                <w:sz w:val="20"/>
              </w:rPr>
            </w:pPr>
            <w:r>
              <w:rPr>
                <w:rFonts w:hint="eastAsia" w:ascii="宋体" w:eastAsia="宋体"/>
                <w:sz w:val="20"/>
              </w:rPr>
              <w:t xml:space="preserve">交通银行股份有限公司十堰分行 </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2BF4345B">
            <w:pPr>
              <w:pStyle w:val="50"/>
              <w:spacing w:line="360" w:lineRule="auto"/>
              <w:ind w:firstLine="0" w:firstLineChars="0"/>
              <w:rPr>
                <w:rFonts w:ascii="宋体" w:eastAsia="宋体"/>
                <w:sz w:val="20"/>
              </w:rPr>
            </w:pPr>
          </w:p>
        </w:tc>
      </w:tr>
      <w:tr w14:paraId="2210F3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04" w:type="dxa"/>
            <w:gridSpan w:val="3"/>
            <w:tcBorders>
              <w:top w:val="single" w:color="auto" w:sz="4" w:space="0"/>
              <w:left w:val="single" w:color="auto" w:sz="4" w:space="0"/>
              <w:bottom w:val="single" w:color="auto" w:sz="4" w:space="0"/>
              <w:right w:val="single" w:color="auto" w:sz="4" w:space="0"/>
              <w:tl2br w:val="nil"/>
              <w:tr2bl w:val="nil"/>
            </w:tcBorders>
          </w:tcPr>
          <w:p w14:paraId="4FB15047">
            <w:pPr>
              <w:pStyle w:val="50"/>
              <w:spacing w:line="360" w:lineRule="auto"/>
              <w:ind w:firstLine="0" w:firstLineChars="0"/>
              <w:rPr>
                <w:rFonts w:ascii="宋体" w:eastAsia="宋体"/>
                <w:sz w:val="20"/>
              </w:rPr>
            </w:pPr>
            <w:r>
              <w:rPr>
                <w:rFonts w:hint="eastAsia" w:ascii="宋体" w:eastAsia="宋体"/>
                <w:sz w:val="20"/>
              </w:rPr>
              <w:t>湖北银行股份有限公司十堰分行</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4B7EF6C8">
            <w:pPr>
              <w:pStyle w:val="50"/>
              <w:spacing w:line="360" w:lineRule="auto"/>
              <w:ind w:firstLine="0" w:firstLineChars="0"/>
              <w:rPr>
                <w:rFonts w:ascii="宋体" w:eastAsia="宋体"/>
                <w:sz w:val="20"/>
              </w:rPr>
            </w:pPr>
          </w:p>
        </w:tc>
      </w:tr>
      <w:tr w14:paraId="301AB6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04" w:type="dxa"/>
            <w:gridSpan w:val="3"/>
            <w:tcBorders>
              <w:top w:val="single" w:color="auto" w:sz="4" w:space="0"/>
              <w:left w:val="single" w:color="auto" w:sz="4" w:space="0"/>
              <w:bottom w:val="single" w:color="auto" w:sz="4" w:space="0"/>
              <w:right w:val="single" w:color="auto" w:sz="4" w:space="0"/>
              <w:tl2br w:val="nil"/>
              <w:tr2bl w:val="nil"/>
            </w:tcBorders>
          </w:tcPr>
          <w:p w14:paraId="4A3E37F6">
            <w:pPr>
              <w:pStyle w:val="50"/>
              <w:spacing w:line="360" w:lineRule="auto"/>
              <w:ind w:firstLine="0" w:firstLineChars="0"/>
              <w:rPr>
                <w:rFonts w:ascii="宋体" w:eastAsia="宋体"/>
                <w:sz w:val="20"/>
              </w:rPr>
            </w:pPr>
            <w:r>
              <w:rPr>
                <w:rFonts w:hint="eastAsia" w:ascii="宋体" w:eastAsia="宋体"/>
                <w:sz w:val="20"/>
              </w:rPr>
              <w:t>招商银行股份有限公司十堰分行</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50AA0D5D">
            <w:pPr>
              <w:pStyle w:val="50"/>
              <w:spacing w:line="360" w:lineRule="auto"/>
              <w:ind w:firstLine="0" w:firstLineChars="0"/>
              <w:rPr>
                <w:rFonts w:ascii="宋体" w:eastAsia="宋体"/>
                <w:sz w:val="20"/>
              </w:rPr>
            </w:pPr>
          </w:p>
        </w:tc>
      </w:tr>
      <w:tr w14:paraId="079380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04" w:type="dxa"/>
            <w:gridSpan w:val="3"/>
            <w:tcBorders>
              <w:top w:val="single" w:color="auto" w:sz="4" w:space="0"/>
              <w:left w:val="single" w:color="auto" w:sz="4" w:space="0"/>
              <w:bottom w:val="single" w:color="auto" w:sz="4" w:space="0"/>
              <w:right w:val="single" w:color="auto" w:sz="4" w:space="0"/>
              <w:tl2br w:val="nil"/>
              <w:tr2bl w:val="nil"/>
            </w:tcBorders>
          </w:tcPr>
          <w:p w14:paraId="3E25694C">
            <w:pPr>
              <w:pStyle w:val="50"/>
              <w:spacing w:line="360" w:lineRule="auto"/>
              <w:ind w:firstLine="0" w:firstLineChars="0"/>
              <w:rPr>
                <w:rFonts w:ascii="宋体" w:eastAsia="宋体"/>
                <w:sz w:val="20"/>
              </w:rPr>
            </w:pPr>
            <w:r>
              <w:rPr>
                <w:rFonts w:hint="eastAsia" w:ascii="宋体" w:eastAsia="宋体"/>
                <w:sz w:val="20"/>
              </w:rPr>
              <w:t>兴业银行股份有限公司十堰分行</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7FE3DACD">
            <w:pPr>
              <w:pStyle w:val="50"/>
              <w:spacing w:line="360" w:lineRule="auto"/>
              <w:ind w:firstLine="0" w:firstLineChars="0"/>
              <w:rPr>
                <w:rFonts w:ascii="宋体" w:eastAsia="宋体"/>
                <w:sz w:val="20"/>
              </w:rPr>
            </w:pPr>
          </w:p>
        </w:tc>
      </w:tr>
      <w:tr w14:paraId="579C5D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04" w:type="dxa"/>
            <w:gridSpan w:val="3"/>
            <w:tcBorders>
              <w:top w:val="single" w:color="auto" w:sz="4" w:space="0"/>
              <w:left w:val="single" w:color="auto" w:sz="4" w:space="0"/>
              <w:bottom w:val="single" w:color="auto" w:sz="4" w:space="0"/>
              <w:right w:val="single" w:color="auto" w:sz="4" w:space="0"/>
              <w:tl2br w:val="nil"/>
              <w:tr2bl w:val="nil"/>
            </w:tcBorders>
          </w:tcPr>
          <w:p w14:paraId="4EE3243A">
            <w:pPr>
              <w:pStyle w:val="50"/>
              <w:spacing w:line="360" w:lineRule="auto"/>
              <w:ind w:firstLine="0" w:firstLineChars="0"/>
              <w:rPr>
                <w:rFonts w:ascii="宋体" w:eastAsia="宋体"/>
                <w:sz w:val="20"/>
              </w:rPr>
            </w:pPr>
            <w:r>
              <w:rPr>
                <w:rFonts w:hint="eastAsia" w:ascii="宋体" w:eastAsia="宋体"/>
                <w:sz w:val="20"/>
              </w:rPr>
              <w:t>中国邮政储蓄银行股份有限公司十堰市分行</w:t>
            </w:r>
          </w:p>
        </w:tc>
        <w:tc>
          <w:tcPr>
            <w:tcW w:w="2430" w:type="dxa"/>
            <w:tcBorders>
              <w:top w:val="single" w:color="auto" w:sz="4" w:space="0"/>
              <w:left w:val="single" w:color="auto" w:sz="4" w:space="0"/>
              <w:bottom w:val="single" w:color="auto" w:sz="4" w:space="0"/>
              <w:right w:val="single" w:color="auto" w:sz="4" w:space="0"/>
              <w:tl2br w:val="nil"/>
              <w:tr2bl w:val="nil"/>
            </w:tcBorders>
          </w:tcPr>
          <w:p w14:paraId="2DFEDC0B">
            <w:pPr>
              <w:pStyle w:val="50"/>
              <w:spacing w:line="360" w:lineRule="auto"/>
              <w:ind w:firstLine="0" w:firstLineChars="0"/>
              <w:rPr>
                <w:rFonts w:ascii="宋体" w:eastAsia="宋体"/>
                <w:sz w:val="20"/>
              </w:rPr>
            </w:pPr>
          </w:p>
        </w:tc>
      </w:tr>
    </w:tbl>
    <w:p w14:paraId="2A7F819D">
      <w:pPr>
        <w:rPr>
          <w:rFonts w:ascii="宋体"/>
          <w:sz w:val="20"/>
          <w:szCs w:val="20"/>
        </w:rPr>
      </w:pPr>
      <w:r>
        <w:rPr>
          <w:rFonts w:hint="eastAsia" w:ascii="宋体"/>
          <w:sz w:val="20"/>
          <w:szCs w:val="20"/>
        </w:rPr>
        <w:t>注：1、集采机构或社会代理机构待采购项目中标或成交结果出来后，将有融资意向的中标或成交供应商填写的“十堰市政府采购信用融资意向银行选择表”发送至邮箱：</w:t>
      </w:r>
      <w:r>
        <w:fldChar w:fldCharType="begin"/>
      </w:r>
      <w:r>
        <w:instrText xml:space="preserve"> HYPERLINK "mailto:hbsycgb@163.com。" </w:instrText>
      </w:r>
      <w:r>
        <w:fldChar w:fldCharType="separate"/>
      </w:r>
      <w:r>
        <w:rPr>
          <w:rFonts w:hint="eastAsia" w:ascii="宋体"/>
          <w:sz w:val="20"/>
          <w:szCs w:val="20"/>
        </w:rPr>
        <w:t>hbsycgb@163.com</w:t>
      </w:r>
      <w:r>
        <w:rPr>
          <w:rFonts w:hint="eastAsia" w:ascii="宋体"/>
          <w:sz w:val="20"/>
          <w:szCs w:val="20"/>
        </w:rPr>
        <w:fldChar w:fldCharType="end"/>
      </w:r>
      <w:r>
        <w:rPr>
          <w:rFonts w:hint="eastAsia" w:ascii="宋体"/>
          <w:sz w:val="20"/>
          <w:szCs w:val="20"/>
        </w:rPr>
        <w:t>；</w:t>
      </w:r>
    </w:p>
    <w:p w14:paraId="4F8E6216">
      <w:pPr>
        <w:rPr>
          <w:rFonts w:ascii="宋体"/>
          <w:sz w:val="20"/>
          <w:szCs w:val="20"/>
        </w:rPr>
      </w:pPr>
      <w:r>
        <w:rPr>
          <w:rFonts w:hint="eastAsia" w:ascii="宋体"/>
          <w:sz w:val="20"/>
          <w:szCs w:val="20"/>
        </w:rPr>
        <w:t>2、财政部门根据企业选择的意向银行，将本表及企业相关信息推送至相对应的融资意向银行经办人。</w:t>
      </w:r>
    </w:p>
    <w:p w14:paraId="750CBC39">
      <w:pPr>
        <w:rPr>
          <w:sz w:val="20"/>
          <w:szCs w:val="21"/>
        </w:rPr>
      </w:pPr>
    </w:p>
    <w:p w14:paraId="3CAAF67D">
      <w:pPr>
        <w:jc w:val="center"/>
        <w:rPr>
          <w:rFonts w:ascii="黑体" w:hAnsi="黑体" w:eastAsia="黑体"/>
          <w:sz w:val="28"/>
          <w:szCs w:val="28"/>
        </w:rPr>
      </w:pPr>
    </w:p>
    <w:p w14:paraId="679C38CD">
      <w:pPr>
        <w:jc w:val="center"/>
        <w:rPr>
          <w:rFonts w:ascii="黑体" w:hAnsi="黑体" w:eastAsia="黑体"/>
          <w:sz w:val="28"/>
          <w:szCs w:val="28"/>
        </w:rPr>
      </w:pPr>
    </w:p>
    <w:p w14:paraId="167AE2F5">
      <w:pPr>
        <w:jc w:val="center"/>
        <w:rPr>
          <w:rFonts w:hint="eastAsia" w:ascii="黑体" w:hAnsi="黑体" w:eastAsia="黑体"/>
          <w:sz w:val="28"/>
          <w:szCs w:val="28"/>
        </w:rPr>
      </w:pPr>
    </w:p>
    <w:p w14:paraId="261E6123">
      <w:pPr>
        <w:jc w:val="center"/>
        <w:rPr>
          <w:rFonts w:hint="eastAsia" w:ascii="黑体" w:hAnsi="黑体" w:eastAsia="黑体"/>
          <w:sz w:val="28"/>
          <w:szCs w:val="28"/>
        </w:rPr>
      </w:pPr>
    </w:p>
    <w:p w14:paraId="2F020ED5">
      <w:pPr>
        <w:jc w:val="center"/>
        <w:rPr>
          <w:rFonts w:hint="eastAsia" w:ascii="黑体" w:hAnsi="黑体" w:eastAsia="黑体"/>
          <w:sz w:val="28"/>
          <w:szCs w:val="28"/>
        </w:rPr>
      </w:pPr>
    </w:p>
    <w:p w14:paraId="1A54B31D">
      <w:pPr>
        <w:jc w:val="center"/>
        <w:rPr>
          <w:rFonts w:hint="eastAsia" w:ascii="黑体" w:hAnsi="黑体" w:eastAsia="黑体"/>
          <w:sz w:val="28"/>
          <w:szCs w:val="28"/>
        </w:rPr>
      </w:pPr>
    </w:p>
    <w:p w14:paraId="3990E2FE">
      <w:pPr>
        <w:jc w:val="center"/>
        <w:rPr>
          <w:rFonts w:hint="eastAsia" w:ascii="黑体" w:hAnsi="黑体" w:eastAsia="黑体"/>
          <w:sz w:val="28"/>
          <w:szCs w:val="28"/>
        </w:rPr>
      </w:pPr>
    </w:p>
    <w:p w14:paraId="1395824E">
      <w:pPr>
        <w:jc w:val="center"/>
        <w:rPr>
          <w:rFonts w:hint="eastAsia" w:ascii="黑体" w:hAnsi="黑体" w:eastAsia="黑体"/>
          <w:sz w:val="28"/>
          <w:szCs w:val="28"/>
        </w:rPr>
      </w:pPr>
    </w:p>
    <w:p w14:paraId="4351167F">
      <w:pPr>
        <w:jc w:val="center"/>
        <w:rPr>
          <w:rFonts w:hint="eastAsia" w:ascii="黑体" w:hAnsi="黑体" w:eastAsia="黑体"/>
          <w:sz w:val="28"/>
          <w:szCs w:val="28"/>
        </w:rPr>
      </w:pPr>
    </w:p>
    <w:p w14:paraId="05E0EC5B">
      <w:pPr>
        <w:jc w:val="center"/>
        <w:rPr>
          <w:rFonts w:hint="eastAsia" w:ascii="黑体" w:hAnsi="黑体" w:eastAsia="黑体"/>
          <w:sz w:val="28"/>
          <w:szCs w:val="28"/>
        </w:rPr>
      </w:pPr>
    </w:p>
    <w:p w14:paraId="091ADD04">
      <w:pPr>
        <w:jc w:val="center"/>
        <w:rPr>
          <w:rFonts w:hint="eastAsia" w:ascii="黑体" w:hAnsi="黑体" w:eastAsia="黑体"/>
          <w:sz w:val="28"/>
          <w:szCs w:val="28"/>
        </w:rPr>
      </w:pPr>
    </w:p>
    <w:p w14:paraId="63BA71FA">
      <w:pPr>
        <w:jc w:val="center"/>
        <w:rPr>
          <w:rFonts w:ascii="黑体" w:hAnsi="黑体" w:eastAsia="黑体"/>
          <w:sz w:val="28"/>
          <w:szCs w:val="28"/>
        </w:rPr>
      </w:pPr>
      <w:r>
        <w:rPr>
          <w:rFonts w:hint="eastAsia" w:ascii="黑体" w:hAnsi="黑体" w:eastAsia="黑体"/>
          <w:sz w:val="28"/>
          <w:szCs w:val="28"/>
        </w:rPr>
        <w:t>供应商须知</w:t>
      </w:r>
    </w:p>
    <w:p w14:paraId="324C6C38">
      <w:pPr>
        <w:pStyle w:val="3"/>
        <w:spacing w:beforeLines="0" w:afterLines="50"/>
        <w:jc w:val="both"/>
      </w:pPr>
      <w:bookmarkStart w:id="17" w:name="_Toc18339"/>
      <w:bookmarkStart w:id="18" w:name="_Toc528097089"/>
      <w:r>
        <w:rPr>
          <w:rFonts w:hint="eastAsia"/>
        </w:rPr>
        <w:t>一、 总则</w:t>
      </w:r>
      <w:bookmarkEnd w:id="17"/>
      <w:bookmarkEnd w:id="18"/>
    </w:p>
    <w:p w14:paraId="32D3C919">
      <w:pPr>
        <w:spacing w:afterLines="50" w:line="360" w:lineRule="exact"/>
        <w:rPr>
          <w:rFonts w:ascii="黑体" w:hAnsi="黑体" w:eastAsia="黑体"/>
          <w:szCs w:val="21"/>
        </w:rPr>
      </w:pPr>
      <w:r>
        <w:rPr>
          <w:rFonts w:hint="eastAsia" w:ascii="黑体" w:hAnsi="黑体" w:eastAsia="黑体"/>
          <w:szCs w:val="21"/>
        </w:rPr>
        <w:t>1、适用法律及范围</w:t>
      </w:r>
    </w:p>
    <w:p w14:paraId="7D271F97">
      <w:pPr>
        <w:spacing w:afterLines="50" w:line="360" w:lineRule="exact"/>
        <w:ind w:firstLine="420" w:firstLineChars="200"/>
        <w:rPr>
          <w:rFonts w:ascii="宋体" w:hAnsi="宋体" w:eastAsia="宋体"/>
          <w:szCs w:val="21"/>
        </w:rPr>
      </w:pPr>
      <w:r>
        <w:rPr>
          <w:rFonts w:hint="eastAsia" w:ascii="宋体" w:hAnsi="宋体" w:eastAsia="宋体"/>
          <w:szCs w:val="21"/>
        </w:rPr>
        <w:t>1.1 本竞争性磋商采购文件仅适用于本次竞争性磋商中所述的项目的采购。</w:t>
      </w:r>
    </w:p>
    <w:p w14:paraId="42B37C71">
      <w:pPr>
        <w:spacing w:afterLines="50" w:line="360" w:lineRule="exact"/>
        <w:rPr>
          <w:rFonts w:ascii="黑体" w:hAnsi="黑体" w:eastAsia="黑体"/>
          <w:szCs w:val="21"/>
        </w:rPr>
      </w:pPr>
      <w:r>
        <w:rPr>
          <w:rFonts w:hint="eastAsia" w:ascii="黑体" w:hAnsi="黑体" w:eastAsia="黑体"/>
          <w:szCs w:val="21"/>
        </w:rPr>
        <w:t>2、定义</w:t>
      </w:r>
    </w:p>
    <w:p w14:paraId="32ED9E47">
      <w:pPr>
        <w:spacing w:afterLines="50" w:line="360" w:lineRule="exact"/>
        <w:ind w:firstLine="420" w:firstLineChars="200"/>
        <w:rPr>
          <w:rFonts w:ascii="宋体" w:hAnsi="宋体" w:eastAsia="宋体"/>
          <w:szCs w:val="21"/>
        </w:rPr>
      </w:pPr>
      <w:r>
        <w:rPr>
          <w:rFonts w:hint="eastAsia" w:ascii="宋体" w:hAnsi="宋体" w:eastAsia="宋体"/>
          <w:szCs w:val="21"/>
        </w:rPr>
        <w:t>2.1 “采购人”：本次磋商的采购人见《供应商须知前附表》。</w:t>
      </w:r>
    </w:p>
    <w:p w14:paraId="322A4508">
      <w:pPr>
        <w:spacing w:afterLines="50" w:line="360" w:lineRule="exact"/>
        <w:ind w:firstLine="420" w:firstLineChars="200"/>
        <w:rPr>
          <w:rFonts w:ascii="宋体" w:hAnsi="宋体" w:eastAsia="宋体"/>
          <w:szCs w:val="21"/>
        </w:rPr>
      </w:pPr>
      <w:r>
        <w:rPr>
          <w:rFonts w:hint="eastAsia" w:ascii="宋体" w:hAnsi="宋体" w:eastAsia="宋体"/>
          <w:szCs w:val="21"/>
        </w:rPr>
        <w:t>2.2 “监管部门”：本次磋商的监管部门见《供应商须知前附表》。</w:t>
      </w:r>
    </w:p>
    <w:p w14:paraId="31E8D487">
      <w:pPr>
        <w:spacing w:afterLines="50" w:line="360" w:lineRule="exact"/>
        <w:ind w:firstLine="420" w:firstLineChars="200"/>
        <w:rPr>
          <w:rFonts w:ascii="宋体" w:hAnsi="宋体" w:eastAsia="宋体"/>
          <w:szCs w:val="21"/>
        </w:rPr>
      </w:pPr>
      <w:r>
        <w:rPr>
          <w:rFonts w:hint="eastAsia" w:ascii="宋体" w:hAnsi="宋体" w:eastAsia="宋体"/>
          <w:szCs w:val="21"/>
        </w:rPr>
        <w:t>2.3 “采购代理机构”：本次磋商的采购代理机构见《供应商须知前附表》。</w:t>
      </w:r>
    </w:p>
    <w:p w14:paraId="6624BC0B">
      <w:pPr>
        <w:spacing w:afterLines="50" w:line="360" w:lineRule="exact"/>
        <w:ind w:firstLine="420" w:firstLineChars="200"/>
        <w:rPr>
          <w:rFonts w:ascii="宋体" w:hAnsi="宋体" w:eastAsia="宋体"/>
          <w:szCs w:val="21"/>
        </w:rPr>
      </w:pPr>
      <w:r>
        <w:rPr>
          <w:rFonts w:hint="eastAsia" w:ascii="宋体" w:hAnsi="宋体" w:eastAsia="宋体"/>
          <w:szCs w:val="21"/>
        </w:rPr>
        <w:t>2.4 “供应商”是指获取本竞争性磋商采购文件的法人、其他组织或者自然人。</w:t>
      </w:r>
    </w:p>
    <w:p w14:paraId="1F1345B1">
      <w:pPr>
        <w:spacing w:afterLines="50" w:line="360" w:lineRule="exact"/>
        <w:ind w:firstLine="420" w:firstLineChars="200"/>
        <w:rPr>
          <w:rFonts w:ascii="宋体" w:hAnsi="宋体" w:eastAsia="宋体"/>
          <w:szCs w:val="21"/>
        </w:rPr>
      </w:pPr>
      <w:r>
        <w:rPr>
          <w:rFonts w:hint="eastAsia" w:ascii="宋体" w:hAnsi="宋体" w:eastAsia="宋体"/>
          <w:szCs w:val="21"/>
        </w:rPr>
        <w:t>2.5 “磋商供应商”是指</w:t>
      </w:r>
    </w:p>
    <w:p w14:paraId="4A866CDD">
      <w:pPr>
        <w:spacing w:afterLines="50" w:line="360" w:lineRule="exact"/>
        <w:ind w:firstLine="420" w:firstLineChars="200"/>
        <w:rPr>
          <w:rFonts w:ascii="宋体" w:hAnsi="宋体" w:eastAsia="宋体"/>
          <w:szCs w:val="21"/>
        </w:rPr>
      </w:pPr>
      <w:r>
        <w:rPr>
          <w:rFonts w:hint="eastAsia" w:ascii="宋体" w:hAnsi="宋体" w:eastAsia="宋体"/>
          <w:szCs w:val="21"/>
        </w:rPr>
        <w:t>1） 符合具备《中华人民共和国政府采购法》第二十二条规定的条件；</w:t>
      </w:r>
    </w:p>
    <w:p w14:paraId="26167FDF">
      <w:pPr>
        <w:spacing w:afterLines="50" w:line="360" w:lineRule="exact"/>
        <w:ind w:firstLine="420" w:firstLineChars="200"/>
        <w:rPr>
          <w:rFonts w:ascii="宋体" w:hAnsi="宋体" w:eastAsia="宋体"/>
          <w:szCs w:val="21"/>
        </w:rPr>
      </w:pPr>
      <w:r>
        <w:rPr>
          <w:rFonts w:hint="eastAsia" w:ascii="宋体" w:hAnsi="宋体" w:eastAsia="宋体"/>
          <w:szCs w:val="21"/>
        </w:rPr>
        <w:t>2） 符合《供应商须知前附表》的相应条件；</w:t>
      </w:r>
    </w:p>
    <w:p w14:paraId="20D95C03">
      <w:pPr>
        <w:spacing w:afterLines="50" w:line="360" w:lineRule="exact"/>
        <w:ind w:firstLine="420" w:firstLineChars="200"/>
        <w:rPr>
          <w:rFonts w:ascii="宋体" w:hAnsi="宋体" w:eastAsia="宋体"/>
          <w:szCs w:val="21"/>
        </w:rPr>
      </w:pPr>
      <w:r>
        <w:rPr>
          <w:rFonts w:hint="eastAsia" w:ascii="宋体" w:hAnsi="宋体" w:eastAsia="宋体"/>
          <w:szCs w:val="21"/>
        </w:rPr>
        <w:t>3） 通过竞争性磋商采购评定办法中初步审核的供应商。</w:t>
      </w:r>
    </w:p>
    <w:p w14:paraId="29D12011">
      <w:pPr>
        <w:spacing w:afterLines="50" w:line="360" w:lineRule="exact"/>
        <w:ind w:firstLine="420" w:firstLineChars="200"/>
        <w:rPr>
          <w:rFonts w:ascii="宋体" w:hAnsi="宋体" w:eastAsia="宋体"/>
          <w:szCs w:val="21"/>
        </w:rPr>
      </w:pPr>
      <w:r>
        <w:rPr>
          <w:rFonts w:hint="eastAsia" w:ascii="宋体" w:hAnsi="宋体" w:eastAsia="宋体"/>
          <w:szCs w:val="21"/>
        </w:rPr>
        <w:t>2.6 “成交供应商” 是指经评审委员会评审推荐，采购人授予合同的供应商。</w:t>
      </w:r>
    </w:p>
    <w:p w14:paraId="24D11E12">
      <w:pPr>
        <w:spacing w:afterLines="50" w:line="360" w:lineRule="exact"/>
        <w:rPr>
          <w:rFonts w:ascii="黑体" w:hAnsi="黑体" w:eastAsia="黑体"/>
          <w:szCs w:val="21"/>
        </w:rPr>
      </w:pPr>
      <w:r>
        <w:rPr>
          <w:rFonts w:hint="eastAsia" w:ascii="黑体" w:hAnsi="黑体" w:eastAsia="黑体"/>
          <w:szCs w:val="21"/>
        </w:rPr>
        <w:t xml:space="preserve"> 3、工程、 货物及服务</w:t>
      </w:r>
    </w:p>
    <w:p w14:paraId="478BAA84">
      <w:pPr>
        <w:spacing w:afterLines="50" w:line="360" w:lineRule="exact"/>
        <w:ind w:firstLine="420" w:firstLineChars="200"/>
        <w:rPr>
          <w:rFonts w:ascii="宋体" w:hAnsi="宋体" w:eastAsia="宋体"/>
          <w:szCs w:val="21"/>
        </w:rPr>
      </w:pPr>
      <w:r>
        <w:rPr>
          <w:rFonts w:hint="eastAsia" w:ascii="宋体" w:hAnsi="宋体" w:eastAsia="宋体"/>
          <w:szCs w:val="21"/>
        </w:rPr>
        <w:t>3.1 “工程”是指建设工程，包括建筑物和构筑物的新建、改建、扩建及其相关的装修、拆除、修缮等。</w:t>
      </w:r>
    </w:p>
    <w:p w14:paraId="6165ECD7">
      <w:pPr>
        <w:spacing w:afterLines="50" w:line="360" w:lineRule="exact"/>
        <w:ind w:firstLine="420" w:firstLineChars="200"/>
        <w:rPr>
          <w:rFonts w:ascii="宋体" w:hAnsi="宋体" w:eastAsia="宋体"/>
          <w:szCs w:val="21"/>
        </w:rPr>
      </w:pPr>
      <w:r>
        <w:rPr>
          <w:rFonts w:hint="eastAsia" w:ascii="宋体" w:hAnsi="宋体" w:eastAsia="宋体"/>
          <w:szCs w:val="21"/>
        </w:rPr>
        <w:t>3.2 “货物”是指各种形态和种类的物品，包括原材料、燃料、设备、产品等。</w:t>
      </w:r>
    </w:p>
    <w:p w14:paraId="2E2C8C99">
      <w:pPr>
        <w:spacing w:afterLines="50" w:line="360" w:lineRule="exact"/>
        <w:ind w:firstLine="420" w:firstLineChars="200"/>
        <w:rPr>
          <w:rFonts w:ascii="宋体" w:hAnsi="宋体" w:eastAsia="宋体"/>
          <w:szCs w:val="21"/>
        </w:rPr>
      </w:pPr>
      <w:r>
        <w:rPr>
          <w:rFonts w:hint="eastAsia" w:ascii="宋体" w:hAnsi="宋体" w:eastAsia="宋体"/>
          <w:szCs w:val="21"/>
        </w:rPr>
        <w:t>3.3 “服务”是指除货物（指各种形态和种类的物品，包括原材料、燃料、设备、产品等）和工程（指建设工程，包括建筑物和构筑物的新建、改建、扩建及其相关的装修、拆除、修缮等）以外的其他政府采购对象。</w:t>
      </w:r>
    </w:p>
    <w:p w14:paraId="58CD5FB4">
      <w:pPr>
        <w:spacing w:afterLines="50" w:line="360" w:lineRule="exact"/>
        <w:rPr>
          <w:rFonts w:ascii="黑体" w:hAnsi="黑体" w:eastAsia="黑体"/>
          <w:szCs w:val="21"/>
        </w:rPr>
      </w:pPr>
      <w:r>
        <w:rPr>
          <w:rFonts w:hint="eastAsia" w:ascii="黑体" w:hAnsi="黑体" w:eastAsia="黑体"/>
          <w:szCs w:val="21"/>
        </w:rPr>
        <w:t>4、费用</w:t>
      </w:r>
    </w:p>
    <w:p w14:paraId="109371C3">
      <w:pPr>
        <w:spacing w:afterLines="50" w:line="360" w:lineRule="exact"/>
        <w:ind w:firstLine="420" w:firstLineChars="200"/>
        <w:rPr>
          <w:rFonts w:ascii="宋体" w:hAnsi="宋体" w:eastAsia="宋体"/>
          <w:szCs w:val="21"/>
        </w:rPr>
      </w:pPr>
      <w:r>
        <w:rPr>
          <w:rFonts w:hint="eastAsia" w:ascii="宋体" w:hAnsi="宋体" w:eastAsia="宋体"/>
          <w:szCs w:val="21"/>
        </w:rPr>
        <w:t>4.1  供应商应承担所有与准备和参加磋商有关的费用，不论磋商的结果如何， 采购人和采购代理机构均无义务和责任承担这些费用。</w:t>
      </w:r>
    </w:p>
    <w:p w14:paraId="652B37D3">
      <w:pPr>
        <w:spacing w:afterLines="50" w:line="360" w:lineRule="exact"/>
        <w:ind w:firstLine="420" w:firstLineChars="200"/>
        <w:rPr>
          <w:rFonts w:ascii="宋体" w:hAnsi="宋体" w:eastAsia="宋体"/>
          <w:szCs w:val="21"/>
        </w:rPr>
      </w:pPr>
      <w:r>
        <w:rPr>
          <w:rFonts w:hint="eastAsia" w:ascii="宋体" w:hAnsi="宋体" w:eastAsia="宋体"/>
          <w:szCs w:val="21"/>
        </w:rPr>
        <w:t>4.2  成交服务费： 成交供应商须在收到成交通知书时向采购代理机构支付成交服务费。 服务费支付标准和方法详见《供应商须知前附表》。</w:t>
      </w:r>
    </w:p>
    <w:p w14:paraId="3FA0F0F9">
      <w:pPr>
        <w:pStyle w:val="3"/>
        <w:spacing w:beforeLines="0" w:afterLines="50"/>
        <w:jc w:val="both"/>
      </w:pPr>
      <w:bookmarkStart w:id="19" w:name="_Toc528097090"/>
      <w:bookmarkStart w:id="20" w:name="_Toc4874"/>
      <w:r>
        <w:rPr>
          <w:rFonts w:hint="eastAsia"/>
        </w:rPr>
        <w:t>二、 竞争性磋商采购文件</w:t>
      </w:r>
      <w:bookmarkEnd w:id="19"/>
      <w:bookmarkEnd w:id="20"/>
    </w:p>
    <w:p w14:paraId="2E5F91FF">
      <w:pPr>
        <w:spacing w:afterLines="50" w:line="360" w:lineRule="exact"/>
        <w:rPr>
          <w:rFonts w:ascii="黑体" w:hAnsi="黑体" w:eastAsia="黑体"/>
          <w:szCs w:val="21"/>
        </w:rPr>
      </w:pPr>
      <w:r>
        <w:rPr>
          <w:rFonts w:hint="eastAsia" w:ascii="黑体" w:hAnsi="黑体" w:eastAsia="黑体"/>
          <w:szCs w:val="21"/>
        </w:rPr>
        <w:t>5、竞争性磋商采购文件的构成</w:t>
      </w:r>
    </w:p>
    <w:p w14:paraId="7A5F5E16">
      <w:pPr>
        <w:spacing w:afterLines="50" w:line="360" w:lineRule="exact"/>
        <w:ind w:firstLine="420" w:firstLineChars="200"/>
        <w:rPr>
          <w:rFonts w:ascii="宋体" w:hAnsi="宋体" w:eastAsia="宋体"/>
          <w:szCs w:val="21"/>
        </w:rPr>
      </w:pPr>
      <w:r>
        <w:rPr>
          <w:rFonts w:hint="eastAsia" w:ascii="宋体" w:hAnsi="宋体" w:eastAsia="宋体"/>
          <w:szCs w:val="21"/>
        </w:rPr>
        <w:t>5.1 本竞争性磋商采购文件包括：</w:t>
      </w:r>
    </w:p>
    <w:p w14:paraId="7631F2DA">
      <w:pPr>
        <w:spacing w:afterLines="50" w:line="360" w:lineRule="exact"/>
        <w:ind w:firstLine="420" w:firstLineChars="200"/>
        <w:rPr>
          <w:rFonts w:ascii="宋体" w:hAnsi="宋体" w:eastAsia="宋体"/>
          <w:szCs w:val="21"/>
        </w:rPr>
      </w:pPr>
      <w:r>
        <w:rPr>
          <w:rFonts w:hint="eastAsia" w:ascii="宋体" w:hAnsi="宋体" w:eastAsia="宋体"/>
          <w:szCs w:val="21"/>
        </w:rPr>
        <w:t>1） 磋商公告</w:t>
      </w:r>
    </w:p>
    <w:p w14:paraId="1F82402E">
      <w:pPr>
        <w:spacing w:afterLines="50" w:line="360" w:lineRule="exact"/>
        <w:ind w:firstLine="420" w:firstLineChars="200"/>
        <w:rPr>
          <w:rFonts w:ascii="宋体" w:hAnsi="宋体" w:eastAsia="宋体"/>
          <w:szCs w:val="21"/>
        </w:rPr>
      </w:pPr>
      <w:r>
        <w:rPr>
          <w:rFonts w:hint="eastAsia" w:ascii="宋体" w:hAnsi="宋体" w:eastAsia="宋体"/>
          <w:szCs w:val="21"/>
        </w:rPr>
        <w:t>2） 供应商须知</w:t>
      </w:r>
    </w:p>
    <w:p w14:paraId="63ED8A1D">
      <w:pPr>
        <w:spacing w:afterLines="50" w:line="360" w:lineRule="exact"/>
        <w:ind w:firstLine="420" w:firstLineChars="200"/>
        <w:rPr>
          <w:rFonts w:hint="eastAsia" w:ascii="宋体" w:hAnsi="宋体" w:eastAsia="宋体"/>
          <w:szCs w:val="21"/>
          <w:lang w:eastAsia="zh-CN"/>
        </w:rPr>
      </w:pPr>
      <w:r>
        <w:rPr>
          <w:rFonts w:hint="eastAsia" w:ascii="宋体" w:hAnsi="宋体" w:eastAsia="宋体"/>
          <w:szCs w:val="21"/>
        </w:rPr>
        <w:t>3） 采购</w:t>
      </w:r>
      <w:r>
        <w:rPr>
          <w:rFonts w:hint="eastAsia" w:ascii="宋体" w:hAnsi="宋体" w:eastAsia="宋体"/>
          <w:szCs w:val="21"/>
          <w:lang w:eastAsia="zh-CN"/>
        </w:rPr>
        <w:t>内容及要求</w:t>
      </w:r>
    </w:p>
    <w:p w14:paraId="01583E6D">
      <w:pPr>
        <w:spacing w:afterLines="50" w:line="360" w:lineRule="exact"/>
        <w:ind w:firstLine="420" w:firstLineChars="200"/>
        <w:rPr>
          <w:rFonts w:ascii="宋体" w:hAnsi="宋体" w:eastAsia="宋体"/>
          <w:szCs w:val="21"/>
        </w:rPr>
      </w:pPr>
      <w:r>
        <w:rPr>
          <w:rFonts w:hint="eastAsia" w:ascii="宋体" w:hAnsi="宋体" w:eastAsia="宋体"/>
          <w:szCs w:val="21"/>
        </w:rPr>
        <w:t>4） 竞争性磋商采购评定办法</w:t>
      </w:r>
    </w:p>
    <w:p w14:paraId="7E9D0296">
      <w:pPr>
        <w:spacing w:afterLines="50" w:line="360" w:lineRule="exact"/>
        <w:ind w:firstLine="420" w:firstLineChars="200"/>
        <w:rPr>
          <w:rFonts w:ascii="宋体" w:hAnsi="宋体" w:eastAsia="宋体"/>
          <w:szCs w:val="21"/>
        </w:rPr>
      </w:pPr>
      <w:r>
        <w:rPr>
          <w:rFonts w:hint="eastAsia" w:ascii="宋体" w:hAnsi="宋体" w:eastAsia="宋体"/>
          <w:szCs w:val="21"/>
        </w:rPr>
        <w:t>5） 合同书格式</w:t>
      </w:r>
    </w:p>
    <w:p w14:paraId="299D396C">
      <w:pPr>
        <w:spacing w:afterLines="50" w:line="360" w:lineRule="exact"/>
        <w:ind w:firstLine="420" w:firstLineChars="200"/>
        <w:rPr>
          <w:rFonts w:ascii="宋体" w:hAnsi="宋体" w:eastAsia="宋体"/>
          <w:szCs w:val="21"/>
        </w:rPr>
      </w:pPr>
      <w:r>
        <w:rPr>
          <w:rFonts w:hint="eastAsia" w:ascii="宋体" w:hAnsi="宋体" w:eastAsia="宋体"/>
          <w:szCs w:val="21"/>
        </w:rPr>
        <w:t>6） 竞争性磋商响应文件格式</w:t>
      </w:r>
    </w:p>
    <w:p w14:paraId="56DB02A4">
      <w:pPr>
        <w:spacing w:afterLines="50" w:line="360" w:lineRule="exact"/>
        <w:ind w:firstLine="420" w:firstLineChars="200"/>
        <w:rPr>
          <w:rFonts w:ascii="宋体" w:hAnsi="宋体" w:eastAsia="宋体"/>
          <w:szCs w:val="21"/>
        </w:rPr>
      </w:pPr>
      <w:r>
        <w:rPr>
          <w:rFonts w:hint="eastAsia" w:ascii="宋体" w:hAnsi="宋体" w:eastAsia="宋体"/>
          <w:szCs w:val="21"/>
        </w:rPr>
        <w:t>7） 采购过程中由采购代理机构发出的澄清和修正文件</w:t>
      </w:r>
    </w:p>
    <w:p w14:paraId="61EAFE6F">
      <w:pPr>
        <w:spacing w:afterLines="50" w:line="360" w:lineRule="exact"/>
        <w:ind w:firstLine="420" w:firstLineChars="200"/>
        <w:rPr>
          <w:rFonts w:ascii="宋体" w:hAnsi="宋体" w:eastAsia="宋体"/>
          <w:szCs w:val="21"/>
        </w:rPr>
      </w:pPr>
      <w:r>
        <w:rPr>
          <w:rFonts w:hint="eastAsia" w:ascii="宋体" w:hAnsi="宋体" w:eastAsia="宋体"/>
          <w:szCs w:val="21"/>
        </w:rPr>
        <w:t>8） 评审委员会在磋商过程中发出的对本磋商文件的实质性变动</w:t>
      </w:r>
    </w:p>
    <w:p w14:paraId="73E2CA45">
      <w:pPr>
        <w:spacing w:afterLines="50" w:line="360" w:lineRule="exact"/>
        <w:rPr>
          <w:rFonts w:ascii="黑体" w:hAnsi="黑体" w:eastAsia="黑体"/>
          <w:szCs w:val="21"/>
        </w:rPr>
      </w:pPr>
      <w:r>
        <w:rPr>
          <w:rFonts w:hint="eastAsia" w:ascii="黑体" w:hAnsi="黑体" w:eastAsia="黑体"/>
          <w:szCs w:val="21"/>
        </w:rPr>
        <w:t>6、竞争性磋商采购文件的澄清</w:t>
      </w:r>
    </w:p>
    <w:p w14:paraId="748272AC">
      <w:pPr>
        <w:spacing w:afterLines="50" w:line="360" w:lineRule="exact"/>
        <w:ind w:firstLine="420" w:firstLineChars="200"/>
        <w:rPr>
          <w:rFonts w:ascii="宋体" w:hAnsi="宋体" w:eastAsia="宋体"/>
          <w:szCs w:val="21"/>
        </w:rPr>
      </w:pPr>
      <w:r>
        <w:rPr>
          <w:rFonts w:hint="eastAsia" w:ascii="宋体" w:hAnsi="宋体" w:eastAsia="宋体"/>
          <w:szCs w:val="21"/>
        </w:rPr>
        <w:t>6.1 供应商获取竞争性磋商采购文件后，应认真检查，如发现页数不全、附件缺失、印刷模糊等，应通知采购代理机构补全或更换，否则风险自负。</w:t>
      </w:r>
    </w:p>
    <w:p w14:paraId="7894459F">
      <w:pPr>
        <w:spacing w:afterLines="50" w:line="360" w:lineRule="exact"/>
        <w:ind w:firstLine="420" w:firstLineChars="200"/>
        <w:rPr>
          <w:rFonts w:ascii="宋体" w:hAnsi="宋体" w:eastAsia="宋体"/>
          <w:szCs w:val="21"/>
        </w:rPr>
      </w:pPr>
      <w:r>
        <w:rPr>
          <w:rFonts w:hint="eastAsia" w:ascii="宋体" w:hAnsi="宋体" w:eastAsia="宋体"/>
          <w:szCs w:val="21"/>
        </w:rPr>
        <w:t>6.2 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14:paraId="495C387B">
      <w:pPr>
        <w:spacing w:afterLines="50" w:line="360" w:lineRule="exact"/>
        <w:ind w:firstLine="420" w:firstLineChars="200"/>
        <w:rPr>
          <w:rFonts w:ascii="宋体" w:hAnsi="宋体" w:eastAsia="宋体"/>
          <w:szCs w:val="21"/>
        </w:rPr>
      </w:pPr>
      <w:r>
        <w:rPr>
          <w:rFonts w:hint="eastAsia" w:ascii="宋体" w:hAnsi="宋体" w:eastAsia="宋体"/>
          <w:szCs w:val="21"/>
        </w:rPr>
        <w:t>采购代理机构对于符合澄清要求的， 将以书面形式给所有接收磋商文件的供应商予以答复(答复中不包括问题的来源)， 供应商收到答复后应在24小时内以书面形式向采购代理机构予以确认。</w:t>
      </w:r>
    </w:p>
    <w:p w14:paraId="3895B9B0">
      <w:pPr>
        <w:spacing w:afterLines="50" w:line="360" w:lineRule="exact"/>
        <w:ind w:firstLine="420" w:firstLineChars="200"/>
        <w:rPr>
          <w:rFonts w:ascii="宋体" w:hAnsi="宋体" w:eastAsia="宋体"/>
          <w:szCs w:val="21"/>
        </w:rPr>
      </w:pPr>
      <w:r>
        <w:rPr>
          <w:rFonts w:hint="eastAsia" w:ascii="宋体" w:hAnsi="宋体" w:eastAsia="宋体"/>
          <w:szCs w:val="21"/>
        </w:rPr>
        <w:t>6.3 供应商在规定的时间内未对竞争性磋商采购文件澄清或提出疑问的,采购代理机构将视其为同意。</w:t>
      </w:r>
    </w:p>
    <w:p w14:paraId="4FBA1D2D">
      <w:pPr>
        <w:spacing w:afterLines="50" w:line="360" w:lineRule="exact"/>
        <w:ind w:firstLine="420" w:firstLineChars="200"/>
        <w:rPr>
          <w:rFonts w:ascii="宋体" w:hAnsi="宋体" w:eastAsia="宋体"/>
          <w:szCs w:val="21"/>
        </w:rPr>
      </w:pPr>
      <w:r>
        <w:rPr>
          <w:rFonts w:hint="eastAsia" w:ascii="宋体" w:hAnsi="宋体" w:eastAsia="宋体"/>
          <w:szCs w:val="21"/>
        </w:rPr>
        <w:t>6.4 澄清的内容是本竞争性磋商采购文件的组成部分，当竞争性磋商采购文件、澄清文件对同一内容的表述不一致时，以最后发出的书面文件为准。</w:t>
      </w:r>
    </w:p>
    <w:p w14:paraId="47BBD1A4">
      <w:pPr>
        <w:spacing w:afterLines="50" w:line="360" w:lineRule="exact"/>
        <w:rPr>
          <w:rFonts w:ascii="黑体" w:hAnsi="黑体" w:eastAsia="黑体"/>
          <w:szCs w:val="21"/>
        </w:rPr>
      </w:pPr>
      <w:r>
        <w:rPr>
          <w:rFonts w:hint="eastAsia" w:ascii="黑体" w:hAnsi="黑体" w:eastAsia="黑体"/>
          <w:szCs w:val="21"/>
        </w:rPr>
        <w:t>7、竞争性磋商采购文件的修改</w:t>
      </w:r>
    </w:p>
    <w:p w14:paraId="2DADDA95">
      <w:pPr>
        <w:spacing w:afterLines="50" w:line="360" w:lineRule="exact"/>
        <w:ind w:firstLine="420" w:firstLineChars="200"/>
        <w:rPr>
          <w:rFonts w:ascii="宋体" w:hAnsi="宋体" w:eastAsia="宋体"/>
          <w:szCs w:val="21"/>
        </w:rPr>
      </w:pPr>
      <w:r>
        <w:rPr>
          <w:rFonts w:hint="eastAsia" w:ascii="宋体" w:hAnsi="宋体" w:eastAsia="宋体"/>
          <w:szCs w:val="21"/>
        </w:rPr>
        <w:t>7.1 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14:paraId="7346ED7C">
      <w:pPr>
        <w:spacing w:afterLines="50" w:line="360" w:lineRule="exact"/>
        <w:ind w:firstLine="420" w:firstLineChars="200"/>
        <w:rPr>
          <w:rFonts w:ascii="宋体" w:hAnsi="宋体" w:eastAsia="宋体"/>
          <w:szCs w:val="21"/>
        </w:rPr>
      </w:pPr>
      <w:r>
        <w:rPr>
          <w:rFonts w:hint="eastAsia" w:ascii="宋体" w:hAnsi="宋体" w:eastAsia="宋体"/>
          <w:szCs w:val="21"/>
        </w:rPr>
        <w:t>7.2 当磋商文件、修改文件对同一内容的表述不一致时，以最后发出的书面文件为准。</w:t>
      </w:r>
    </w:p>
    <w:p w14:paraId="357E019E">
      <w:pPr>
        <w:spacing w:afterLines="50" w:line="360" w:lineRule="exact"/>
        <w:ind w:firstLine="420" w:firstLineChars="200"/>
        <w:rPr>
          <w:rFonts w:ascii="宋体" w:hAnsi="宋体" w:eastAsia="宋体"/>
          <w:szCs w:val="21"/>
        </w:rPr>
      </w:pPr>
      <w:r>
        <w:rPr>
          <w:rFonts w:hint="eastAsia" w:ascii="宋体" w:hAnsi="宋体" w:eastAsia="宋体"/>
          <w:szCs w:val="21"/>
        </w:rPr>
        <w:t>7.3 修改的内容可能影响响应文件编制的，修改文件应当在提交首次响应文件截止之日3个工作日前发出，不足3个工作日的，采购人、采购代理机构将顺延提交首次响应文件截止之日。</w:t>
      </w:r>
    </w:p>
    <w:p w14:paraId="2E036409">
      <w:pPr>
        <w:pStyle w:val="3"/>
        <w:spacing w:beforeLines="0" w:afterLines="50"/>
        <w:jc w:val="both"/>
      </w:pPr>
      <w:bookmarkStart w:id="21" w:name="_Toc29279"/>
      <w:bookmarkStart w:id="22" w:name="_Toc528097091"/>
      <w:r>
        <w:rPr>
          <w:rFonts w:hint="eastAsia"/>
        </w:rPr>
        <w:t>三、竞争性磋商响应文件</w:t>
      </w:r>
      <w:bookmarkEnd w:id="21"/>
      <w:bookmarkEnd w:id="22"/>
    </w:p>
    <w:p w14:paraId="108551F4">
      <w:pPr>
        <w:spacing w:afterLines="50" w:line="360" w:lineRule="exact"/>
        <w:rPr>
          <w:rFonts w:ascii="黑体" w:hAnsi="黑体" w:eastAsia="黑体"/>
          <w:szCs w:val="21"/>
        </w:rPr>
      </w:pPr>
      <w:r>
        <w:rPr>
          <w:rFonts w:hint="eastAsia" w:ascii="黑体" w:hAnsi="黑体" w:eastAsia="黑体"/>
          <w:szCs w:val="21"/>
        </w:rPr>
        <w:t>8、语言和计量单位</w:t>
      </w:r>
    </w:p>
    <w:p w14:paraId="046276EE">
      <w:pPr>
        <w:spacing w:afterLines="50" w:line="360" w:lineRule="exact"/>
        <w:ind w:firstLine="420" w:firstLineChars="200"/>
        <w:rPr>
          <w:rFonts w:ascii="宋体" w:hAnsi="宋体" w:eastAsia="宋体"/>
          <w:szCs w:val="21"/>
        </w:rPr>
      </w:pPr>
      <w:r>
        <w:rPr>
          <w:rFonts w:hint="eastAsia" w:ascii="宋体" w:hAnsi="宋体" w:eastAsia="宋体"/>
          <w:szCs w:val="21"/>
        </w:rPr>
        <w:t>8.1 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14:paraId="535E9816">
      <w:pPr>
        <w:spacing w:afterLines="50" w:line="360" w:lineRule="exact"/>
        <w:ind w:firstLine="420" w:firstLineChars="200"/>
        <w:rPr>
          <w:rFonts w:ascii="宋体" w:hAnsi="宋体" w:eastAsia="宋体"/>
          <w:szCs w:val="21"/>
        </w:rPr>
      </w:pPr>
      <w:r>
        <w:rPr>
          <w:rFonts w:hint="eastAsia" w:ascii="宋体" w:hAnsi="宋体" w:eastAsia="宋体"/>
          <w:szCs w:val="21"/>
        </w:rPr>
        <w:t>8.2 除非竞争性磋商采购文件中另有规定，计量单位均采用中华人民共和国法定的计量单位。</w:t>
      </w:r>
    </w:p>
    <w:p w14:paraId="278D70F5">
      <w:pPr>
        <w:spacing w:afterLines="50" w:line="360" w:lineRule="exact"/>
        <w:rPr>
          <w:rFonts w:ascii="黑体" w:hAnsi="黑体" w:eastAsia="黑体"/>
          <w:szCs w:val="21"/>
        </w:rPr>
      </w:pPr>
      <w:r>
        <w:rPr>
          <w:rFonts w:hint="eastAsia" w:ascii="黑体" w:hAnsi="黑体" w:eastAsia="黑体"/>
          <w:szCs w:val="21"/>
        </w:rPr>
        <w:t>9、竞争性磋商响应文件的构成</w:t>
      </w:r>
    </w:p>
    <w:p w14:paraId="0BB83456">
      <w:pPr>
        <w:spacing w:afterLines="50" w:line="360" w:lineRule="exact"/>
        <w:ind w:firstLine="420" w:firstLineChars="200"/>
        <w:rPr>
          <w:rFonts w:ascii="宋体" w:hAnsi="宋体" w:eastAsia="宋体"/>
          <w:szCs w:val="21"/>
        </w:rPr>
      </w:pPr>
      <w:r>
        <w:rPr>
          <w:rFonts w:hint="eastAsia" w:ascii="宋体" w:hAnsi="宋体" w:eastAsia="宋体"/>
          <w:szCs w:val="21"/>
        </w:rPr>
        <w:t>9.1 供应商编制的竞争性磋商响应件应包括的内容详见本文件第六章要求。</w:t>
      </w:r>
    </w:p>
    <w:p w14:paraId="7DF41398">
      <w:pPr>
        <w:spacing w:afterLines="50" w:line="360" w:lineRule="exact"/>
        <w:ind w:firstLine="420" w:firstLineChars="200"/>
        <w:rPr>
          <w:rFonts w:ascii="宋体" w:hAnsi="宋体" w:eastAsia="宋体"/>
          <w:szCs w:val="21"/>
        </w:rPr>
      </w:pPr>
      <w:r>
        <w:rPr>
          <w:rFonts w:hint="eastAsia" w:ascii="宋体" w:hAnsi="宋体" w:eastAsia="宋体"/>
          <w:szCs w:val="21"/>
        </w:rPr>
        <w:t>注：响应文件目录及内容每页须顺序编写页码。</w:t>
      </w:r>
    </w:p>
    <w:p w14:paraId="16F9C161">
      <w:pPr>
        <w:spacing w:afterLines="50" w:line="360" w:lineRule="exact"/>
        <w:rPr>
          <w:rFonts w:ascii="黑体" w:hAnsi="黑体" w:eastAsia="黑体"/>
          <w:szCs w:val="21"/>
        </w:rPr>
      </w:pPr>
      <w:r>
        <w:rPr>
          <w:rFonts w:hint="eastAsia" w:ascii="黑体" w:hAnsi="黑体" w:eastAsia="黑体"/>
          <w:szCs w:val="21"/>
        </w:rPr>
        <w:t>10 、竞争性磋商响应文件的编制</w:t>
      </w:r>
    </w:p>
    <w:p w14:paraId="6D3246BA">
      <w:pPr>
        <w:spacing w:afterLines="50" w:line="360" w:lineRule="exact"/>
        <w:ind w:firstLine="420" w:firstLineChars="200"/>
        <w:rPr>
          <w:rFonts w:ascii="宋体" w:hAnsi="宋体" w:eastAsia="宋体"/>
          <w:szCs w:val="21"/>
        </w:rPr>
      </w:pPr>
      <w:r>
        <w:rPr>
          <w:rFonts w:hint="eastAsia" w:ascii="宋体" w:hAnsi="宋体" w:eastAsia="宋体"/>
          <w:szCs w:val="21"/>
        </w:rPr>
        <w:t>10.1 供应商应当按照本采购文件的要求编制响应文件， 并对其提交的响应文件及全部资料的真实性、合法性承担法律责任，并接受采购代理机构对其中任何资料进一步核实的要求。</w:t>
      </w:r>
    </w:p>
    <w:p w14:paraId="5312E7A4">
      <w:pPr>
        <w:spacing w:afterLines="50" w:line="360" w:lineRule="exact"/>
        <w:ind w:firstLine="420" w:firstLineChars="200"/>
        <w:rPr>
          <w:rFonts w:ascii="宋体" w:hAnsi="宋体" w:eastAsia="宋体"/>
          <w:szCs w:val="21"/>
        </w:rPr>
      </w:pPr>
      <w:r>
        <w:rPr>
          <w:rFonts w:hint="eastAsia" w:ascii="宋体" w:hAnsi="宋体" w:eastAsia="宋体"/>
          <w:szCs w:val="21"/>
        </w:rPr>
        <w:t>10.2 供应商应认真阅读本采购文件中的所有内容， 并对本采购文件提出的要求和条件作出实质性响应。如供应商没有按照本采购文件的要求提交全部资料，或者没有对本采购文件在各方面都做出实质性响应的，其响应文件将被视为无效文件。</w:t>
      </w:r>
    </w:p>
    <w:p w14:paraId="7DD9E800">
      <w:pPr>
        <w:spacing w:afterLines="50" w:line="360" w:lineRule="exact"/>
        <w:ind w:firstLine="420" w:firstLineChars="200"/>
        <w:rPr>
          <w:rFonts w:ascii="宋体" w:hAnsi="宋体" w:eastAsia="宋体"/>
          <w:szCs w:val="21"/>
        </w:rPr>
      </w:pPr>
      <w:r>
        <w:rPr>
          <w:rFonts w:hint="eastAsia" w:ascii="宋体" w:hAnsi="宋体" w:eastAsia="宋体"/>
          <w:szCs w:val="21"/>
        </w:rPr>
        <w:t>10.3 供应商应完整地按本采购文件的要求提交所有资料并按要求的格式填写规定的所有内容，无相应内容可填项的，应填写“无”、“未测试”、“没有相应指标”等明确的回答文字。如未规定格式的，相关格式由供应商自定。</w:t>
      </w:r>
    </w:p>
    <w:p w14:paraId="606E3FB3">
      <w:pPr>
        <w:spacing w:afterLines="50" w:line="360" w:lineRule="exact"/>
        <w:ind w:firstLine="420" w:firstLineChars="200"/>
        <w:rPr>
          <w:rFonts w:ascii="宋体" w:hAnsi="宋体" w:eastAsia="宋体"/>
          <w:szCs w:val="21"/>
        </w:rPr>
      </w:pPr>
      <w:r>
        <w:rPr>
          <w:rFonts w:hint="eastAsia" w:ascii="宋体" w:hAnsi="宋体" w:eastAsia="宋体"/>
          <w:szCs w:val="21"/>
        </w:rPr>
        <w:t>10.4 供应商在编制响应文件时应注意本次采购对多包采购的规定，多包采购的规定见《供应商须知前附表》。</w:t>
      </w:r>
    </w:p>
    <w:p w14:paraId="56142099">
      <w:pPr>
        <w:spacing w:afterLines="50" w:line="360" w:lineRule="exact"/>
        <w:rPr>
          <w:rFonts w:ascii="黑体" w:hAnsi="黑体" w:eastAsia="黑体"/>
          <w:szCs w:val="21"/>
        </w:rPr>
      </w:pPr>
      <w:r>
        <w:rPr>
          <w:rFonts w:hint="eastAsia" w:ascii="黑体" w:hAnsi="黑体" w:eastAsia="黑体"/>
          <w:szCs w:val="21"/>
        </w:rPr>
        <w:t>11、 磋商报价</w:t>
      </w:r>
    </w:p>
    <w:p w14:paraId="09C2EA4F">
      <w:pPr>
        <w:spacing w:afterLines="50" w:line="360" w:lineRule="exact"/>
        <w:ind w:firstLine="420" w:firstLineChars="200"/>
        <w:rPr>
          <w:rFonts w:ascii="宋体" w:hAnsi="宋体" w:eastAsia="宋体"/>
          <w:szCs w:val="21"/>
        </w:rPr>
      </w:pPr>
      <w:r>
        <w:rPr>
          <w:rFonts w:hint="eastAsia" w:ascii="宋体" w:hAnsi="宋体" w:eastAsia="宋体"/>
          <w:szCs w:val="21"/>
        </w:rPr>
        <w:t>11.1 磋商报价包括磋商供应商在首次提交的响应文件中的报价、磋商过程中的报价和最后报价。磋商供应商的报价均应以人民币报价。</w:t>
      </w:r>
    </w:p>
    <w:p w14:paraId="6E0E9C94">
      <w:pPr>
        <w:spacing w:afterLines="50" w:line="360" w:lineRule="exact"/>
        <w:ind w:firstLine="420" w:firstLineChars="200"/>
        <w:rPr>
          <w:rFonts w:ascii="宋体" w:hAnsi="宋体" w:eastAsia="宋体"/>
          <w:szCs w:val="21"/>
        </w:rPr>
      </w:pPr>
      <w:r>
        <w:rPr>
          <w:rFonts w:hint="eastAsia" w:ascii="宋体" w:hAnsi="宋体" w:eastAsia="宋体"/>
          <w:szCs w:val="21"/>
        </w:rPr>
        <w:t>11.2 供应商应按照本采购文件规定的采购需求及合同条款进行报价， 并按竞争性磋商采购文件确定的格式报出。 报价中不得包含竞争性磋商采购文件要求以外的内容， 否则， 在评审时不予核减。报价中也不得缺漏竞争性磋商采购文件所要求的内容，否则，其响应文件将被视为无效文件。</w:t>
      </w:r>
    </w:p>
    <w:p w14:paraId="1787F29C">
      <w:pPr>
        <w:spacing w:afterLines="50" w:line="360" w:lineRule="exact"/>
        <w:ind w:firstLine="420" w:firstLineChars="200"/>
        <w:rPr>
          <w:rFonts w:ascii="宋体" w:hAnsi="宋体" w:eastAsia="宋体"/>
          <w:szCs w:val="21"/>
        </w:rPr>
      </w:pPr>
      <w:r>
        <w:rPr>
          <w:rFonts w:hint="eastAsia" w:ascii="宋体" w:hAnsi="宋体" w:eastAsia="宋体"/>
          <w:szCs w:val="21"/>
        </w:rPr>
        <w:t>11.3 供应商应根据本磋商文件的规定和要求、市场价格水平及其走势、磋商供应商的管理水平、磋商供应商的方案和由这些因素决定的磋商供应商之于本项目的成本水平等提出自己的报价。 报价应包含完成本采购文件采购需求全部内容的所有费用， 所有根据本采购文件或其它原因应由磋商供应商支付的税款和其他应交纳的费用都应包括在报价中。 但磋商供应商不得以低于其成本的价格进行报价。</w:t>
      </w:r>
    </w:p>
    <w:p w14:paraId="07EF2D28">
      <w:pPr>
        <w:spacing w:afterLines="50" w:line="360" w:lineRule="exact"/>
        <w:ind w:firstLine="420" w:firstLineChars="200"/>
        <w:rPr>
          <w:rFonts w:ascii="宋体" w:hAnsi="宋体" w:eastAsia="宋体"/>
          <w:szCs w:val="21"/>
        </w:rPr>
      </w:pPr>
      <w:r>
        <w:rPr>
          <w:rFonts w:hint="eastAsia" w:ascii="宋体" w:hAnsi="宋体" w:eastAsia="宋体"/>
          <w:szCs w:val="21"/>
        </w:rPr>
        <w:t>11.4 供应商在响应文件中注明免费的项目将视为包含在报价中。</w:t>
      </w:r>
    </w:p>
    <w:p w14:paraId="1705681B">
      <w:pPr>
        <w:spacing w:afterLines="50" w:line="360" w:lineRule="exact"/>
        <w:ind w:firstLine="420" w:firstLineChars="200"/>
        <w:rPr>
          <w:rFonts w:ascii="宋体" w:hAnsi="宋体" w:eastAsia="宋体"/>
          <w:szCs w:val="21"/>
        </w:rPr>
      </w:pPr>
      <w:r>
        <w:rPr>
          <w:rFonts w:hint="eastAsia" w:ascii="宋体" w:hAnsi="宋体" w:eastAsia="宋体"/>
          <w:szCs w:val="21"/>
        </w:rPr>
        <w:t>11.5 每一种采购内容只允许有一个报价，否则其响应文件将被视为无效文件。</w:t>
      </w:r>
    </w:p>
    <w:p w14:paraId="0CCCC0CF">
      <w:pPr>
        <w:spacing w:afterLines="50" w:line="360" w:lineRule="exact"/>
        <w:ind w:firstLine="420" w:firstLineChars="200"/>
        <w:rPr>
          <w:rFonts w:ascii="宋体" w:hAnsi="宋体" w:eastAsia="宋体"/>
          <w:szCs w:val="21"/>
        </w:rPr>
      </w:pPr>
      <w:r>
        <w:rPr>
          <w:rFonts w:hint="eastAsia" w:ascii="宋体" w:hAnsi="宋体" w:eastAsia="宋体"/>
          <w:szCs w:val="21"/>
        </w:rPr>
        <w:t>11.6 成交供应商的报价在合同执行过程中是固定不变的，不得以任何理由予以变更。</w:t>
      </w:r>
    </w:p>
    <w:p w14:paraId="23ACDA5B">
      <w:pPr>
        <w:spacing w:afterLines="50" w:line="360" w:lineRule="exact"/>
        <w:rPr>
          <w:rFonts w:ascii="黑体" w:hAnsi="黑体" w:eastAsia="黑体"/>
          <w:szCs w:val="21"/>
        </w:rPr>
      </w:pPr>
      <w:r>
        <w:rPr>
          <w:rFonts w:hint="eastAsia" w:ascii="黑体" w:hAnsi="黑体" w:eastAsia="黑体"/>
          <w:szCs w:val="21"/>
        </w:rPr>
        <w:t>12、备选方案</w:t>
      </w:r>
    </w:p>
    <w:p w14:paraId="36FA1CF4">
      <w:pPr>
        <w:spacing w:afterLines="50" w:line="360" w:lineRule="exact"/>
        <w:ind w:firstLine="420" w:firstLineChars="200"/>
        <w:rPr>
          <w:rFonts w:ascii="宋体" w:hAnsi="宋体" w:eastAsia="宋体"/>
          <w:szCs w:val="21"/>
        </w:rPr>
      </w:pPr>
      <w:r>
        <w:rPr>
          <w:rFonts w:hint="eastAsia" w:ascii="宋体" w:hAnsi="宋体" w:eastAsia="宋体"/>
          <w:szCs w:val="21"/>
        </w:rPr>
        <w:t>12.1 是否允许备选方案见《供应商须知前附表》。不允许有备选方案的，若在响应文件中提交了备选方案，其响应文件将被视为无效文件。</w:t>
      </w:r>
    </w:p>
    <w:p w14:paraId="6584452B">
      <w:pPr>
        <w:spacing w:afterLines="50" w:line="360" w:lineRule="exact"/>
        <w:rPr>
          <w:rFonts w:ascii="黑体" w:hAnsi="黑体" w:eastAsia="黑体"/>
          <w:szCs w:val="21"/>
        </w:rPr>
      </w:pPr>
      <w:r>
        <w:rPr>
          <w:rFonts w:hint="eastAsia" w:ascii="黑体" w:hAnsi="黑体" w:eastAsia="黑体"/>
          <w:szCs w:val="21"/>
        </w:rPr>
        <w:t>13 、联合体</w:t>
      </w:r>
    </w:p>
    <w:p w14:paraId="1745B4D3">
      <w:pPr>
        <w:spacing w:afterLines="50" w:line="360" w:lineRule="exact"/>
        <w:ind w:firstLine="420" w:firstLineChars="200"/>
        <w:rPr>
          <w:rFonts w:ascii="宋体" w:hAnsi="宋体" w:eastAsia="宋体"/>
          <w:szCs w:val="21"/>
        </w:rPr>
      </w:pPr>
      <w:r>
        <w:rPr>
          <w:rFonts w:hint="eastAsia" w:ascii="宋体" w:hAnsi="宋体" w:eastAsia="宋体"/>
          <w:szCs w:val="21"/>
        </w:rPr>
        <w:t>13.1 本次采购是否允许联合体参加详见《供应商须知前附表》。</w:t>
      </w:r>
    </w:p>
    <w:p w14:paraId="28116E5E">
      <w:pPr>
        <w:spacing w:afterLines="50" w:line="360" w:lineRule="exact"/>
        <w:rPr>
          <w:rFonts w:ascii="黑体" w:hAnsi="黑体" w:eastAsia="黑体"/>
          <w:szCs w:val="21"/>
        </w:rPr>
      </w:pPr>
      <w:r>
        <w:rPr>
          <w:rFonts w:hint="eastAsia" w:ascii="黑体" w:hAnsi="黑体" w:eastAsia="黑体"/>
          <w:szCs w:val="21"/>
        </w:rPr>
        <w:t>14、供应商资格证明文件</w:t>
      </w:r>
    </w:p>
    <w:p w14:paraId="6C428BFB">
      <w:pPr>
        <w:spacing w:afterLines="50" w:line="360" w:lineRule="exact"/>
        <w:ind w:firstLine="420" w:firstLineChars="200"/>
        <w:rPr>
          <w:rFonts w:ascii="宋体" w:hAnsi="宋体" w:eastAsia="宋体"/>
          <w:szCs w:val="21"/>
        </w:rPr>
      </w:pPr>
      <w:r>
        <w:rPr>
          <w:rFonts w:hint="eastAsia" w:ascii="宋体" w:hAnsi="宋体" w:eastAsia="宋体"/>
          <w:szCs w:val="21"/>
        </w:rPr>
        <w:t>14.1 供应商应在响应文件</w:t>
      </w:r>
      <w:r>
        <w:rPr>
          <w:rFonts w:hint="eastAsia" w:ascii="宋体" w:hAnsi="宋体" w:eastAsia="宋体"/>
          <w:szCs w:val="21"/>
          <w:lang w:eastAsia="zh-CN"/>
        </w:rPr>
        <w:t>中</w:t>
      </w:r>
      <w:r>
        <w:rPr>
          <w:rFonts w:hint="eastAsia" w:ascii="宋体" w:hAnsi="宋体" w:eastAsia="宋体"/>
          <w:szCs w:val="21"/>
        </w:rPr>
        <w:t>提交证明其有资格参加磋商的证明文件，证明文件应包括</w:t>
      </w:r>
      <w:r>
        <w:rPr>
          <w:rFonts w:hint="eastAsia" w:ascii="宋体" w:hAnsi="宋体" w:eastAsia="宋体"/>
          <w:szCs w:val="21"/>
          <w:lang w:eastAsia="zh-CN"/>
        </w:rPr>
        <w:t>但不限于</w:t>
      </w:r>
      <w:r>
        <w:rPr>
          <w:rFonts w:hint="eastAsia" w:ascii="宋体" w:hAnsi="宋体" w:eastAsia="宋体"/>
          <w:szCs w:val="21"/>
        </w:rPr>
        <w:t>下列文件：</w:t>
      </w:r>
    </w:p>
    <w:p w14:paraId="257EE48D">
      <w:pPr>
        <w:spacing w:afterLines="50" w:line="360" w:lineRule="exact"/>
        <w:ind w:firstLine="420" w:firstLineChars="200"/>
        <w:rPr>
          <w:rFonts w:ascii="宋体" w:hAnsi="宋体" w:eastAsia="宋体"/>
          <w:szCs w:val="21"/>
        </w:rPr>
      </w:pPr>
      <w:r>
        <w:rPr>
          <w:rFonts w:hint="eastAsia" w:ascii="宋体" w:hAnsi="宋体" w:eastAsia="宋体"/>
          <w:szCs w:val="21"/>
        </w:rPr>
        <w:t>1） 营业执照（复印件）；</w:t>
      </w:r>
    </w:p>
    <w:p w14:paraId="7671377E">
      <w:pPr>
        <w:spacing w:afterLines="50" w:line="360" w:lineRule="exact"/>
        <w:ind w:firstLine="420" w:firstLineChars="200"/>
        <w:rPr>
          <w:rFonts w:ascii="宋体" w:hAnsi="宋体" w:eastAsia="宋体"/>
          <w:szCs w:val="21"/>
        </w:rPr>
      </w:pPr>
      <w:r>
        <w:rPr>
          <w:rFonts w:hint="eastAsia" w:ascii="宋体" w:hAnsi="宋体" w:eastAsia="宋体"/>
          <w:szCs w:val="21"/>
        </w:rPr>
        <w:t>2） 采购文件要求供应商应提交的其它资格证明</w:t>
      </w:r>
      <w:r>
        <w:rPr>
          <w:rFonts w:hint="eastAsia" w:ascii="宋体" w:hAnsi="宋体" w:eastAsia="宋体"/>
          <w:szCs w:val="21"/>
          <w:lang w:eastAsia="zh-CN"/>
        </w:rPr>
        <w:t>材料</w:t>
      </w:r>
      <w:r>
        <w:rPr>
          <w:rFonts w:hint="eastAsia" w:ascii="宋体" w:hAnsi="宋体" w:eastAsia="宋体"/>
          <w:szCs w:val="21"/>
        </w:rPr>
        <w:t>，应提交的其它资格证明</w:t>
      </w:r>
      <w:r>
        <w:rPr>
          <w:rFonts w:hint="eastAsia" w:ascii="宋体" w:hAnsi="宋体" w:eastAsia="宋体"/>
          <w:szCs w:val="21"/>
          <w:lang w:eastAsia="zh-CN"/>
        </w:rPr>
        <w:t>材料</w:t>
      </w:r>
      <w:r>
        <w:rPr>
          <w:rFonts w:hint="eastAsia" w:ascii="宋体" w:hAnsi="宋体" w:eastAsia="宋体"/>
          <w:szCs w:val="21"/>
        </w:rPr>
        <w:t>见《供应商须知前附表》。</w:t>
      </w:r>
    </w:p>
    <w:p w14:paraId="0A965394">
      <w:pPr>
        <w:spacing w:afterLines="50" w:line="360" w:lineRule="exact"/>
        <w:ind w:firstLine="420" w:firstLineChars="200"/>
        <w:rPr>
          <w:rFonts w:ascii="宋体" w:hAnsi="宋体" w:eastAsia="宋体"/>
          <w:szCs w:val="21"/>
        </w:rPr>
      </w:pPr>
      <w:r>
        <w:rPr>
          <w:rFonts w:hint="eastAsia" w:ascii="宋体" w:hAnsi="宋体" w:eastAsia="宋体"/>
          <w:szCs w:val="21"/>
        </w:rPr>
        <w:t>14.2 除本须知14.1要求的资格证明文件外， 如国家法律法规对市场准入有要求的还应提交相关资格证明文件。</w:t>
      </w:r>
    </w:p>
    <w:p w14:paraId="1105BA7F">
      <w:pPr>
        <w:spacing w:afterLines="50" w:line="360" w:lineRule="exact"/>
        <w:ind w:firstLine="420" w:firstLineChars="200"/>
        <w:rPr>
          <w:rFonts w:ascii="宋体" w:hAnsi="宋体" w:eastAsia="宋体"/>
          <w:szCs w:val="21"/>
        </w:rPr>
      </w:pPr>
      <w:r>
        <w:rPr>
          <w:rFonts w:hint="eastAsia" w:ascii="宋体" w:hAnsi="宋体" w:eastAsia="宋体"/>
          <w:szCs w:val="21"/>
        </w:rPr>
        <w:t>14.3 证明材料仅限于磋商供应商单位本身，母公司、股东单位和子公司的材料不能作为证明材料，但磋商供应商单位兼并的企业的材料可作为证明材料。采用复印件的必须加盖单位印章。</w:t>
      </w:r>
    </w:p>
    <w:p w14:paraId="302A4FC0">
      <w:pPr>
        <w:spacing w:afterLines="50" w:line="360" w:lineRule="exact"/>
        <w:rPr>
          <w:rFonts w:ascii="黑体" w:hAnsi="黑体" w:eastAsia="黑体"/>
          <w:szCs w:val="21"/>
        </w:rPr>
      </w:pPr>
      <w:r>
        <w:rPr>
          <w:rFonts w:hint="eastAsia" w:ascii="黑体" w:hAnsi="黑体" w:eastAsia="黑体"/>
          <w:szCs w:val="21"/>
        </w:rPr>
        <w:t>15 、证明报价内容、服务合格性和符合竞争性磋商采购文件规定的文件</w:t>
      </w:r>
    </w:p>
    <w:p w14:paraId="39A28BB5">
      <w:pPr>
        <w:spacing w:afterLines="50" w:line="360" w:lineRule="exact"/>
        <w:rPr>
          <w:rFonts w:ascii="宋体" w:hAnsi="宋体" w:eastAsia="宋体"/>
          <w:szCs w:val="21"/>
        </w:rPr>
      </w:pPr>
      <w:r>
        <w:rPr>
          <w:rFonts w:hint="eastAsia" w:ascii="宋体" w:hAnsi="宋体" w:eastAsia="宋体"/>
          <w:szCs w:val="21"/>
        </w:rPr>
        <w:t>15.1 证明报价内容符合竞争性磋商采购文件要求的文件和竞争性磋商采购文件规定的其他资料， 具体要求见《供应商须知前附表》。</w:t>
      </w:r>
    </w:p>
    <w:p w14:paraId="6EAE5811">
      <w:pPr>
        <w:spacing w:afterLines="50" w:line="360" w:lineRule="exact"/>
        <w:rPr>
          <w:rFonts w:ascii="黑体" w:hAnsi="黑体" w:eastAsia="黑体"/>
          <w:szCs w:val="21"/>
        </w:rPr>
      </w:pPr>
      <w:r>
        <w:rPr>
          <w:rFonts w:hint="eastAsia" w:ascii="黑体" w:hAnsi="黑体" w:eastAsia="黑体"/>
          <w:szCs w:val="21"/>
        </w:rPr>
        <w:t>16 、磋商有效期</w:t>
      </w:r>
    </w:p>
    <w:p w14:paraId="5584F534">
      <w:pPr>
        <w:spacing w:afterLines="50" w:line="360" w:lineRule="exact"/>
        <w:ind w:firstLine="420" w:firstLineChars="200"/>
        <w:rPr>
          <w:rFonts w:ascii="宋体" w:hAnsi="宋体" w:eastAsia="宋体"/>
          <w:szCs w:val="21"/>
        </w:rPr>
      </w:pPr>
      <w:r>
        <w:rPr>
          <w:rFonts w:hint="eastAsia" w:ascii="宋体" w:hAnsi="宋体" w:eastAsia="宋体"/>
          <w:szCs w:val="21"/>
        </w:rPr>
        <w:t>16.1 磋商有效期从磋商结束之日起计算，本次采购磋商有效期见《供应商须知前附表》，磋商供应商承诺的磋商有效期不足的，其响应文件将被视为无效文件。</w:t>
      </w:r>
    </w:p>
    <w:p w14:paraId="679E9B9A">
      <w:pPr>
        <w:spacing w:afterLines="50" w:line="360" w:lineRule="exact"/>
        <w:ind w:firstLine="420" w:firstLineChars="200"/>
        <w:rPr>
          <w:rFonts w:ascii="宋体" w:hAnsi="宋体" w:eastAsia="宋体"/>
          <w:szCs w:val="21"/>
        </w:rPr>
      </w:pPr>
      <w:r>
        <w:rPr>
          <w:rFonts w:hint="eastAsia" w:ascii="宋体" w:hAnsi="宋体" w:eastAsia="宋体"/>
          <w:szCs w:val="21"/>
        </w:rPr>
        <w:t xml:space="preserve">16.2 特殊情况下，在原磋商有效期截止之前， 采购代理机构或采购人可要求供应商延长磋商有效期。需要延长磋商有效期时，采购代理机构或采购人将以书面形式通知所有磋商供应商，供应商应以书面形式答复是否同意延长磋商有效期。 </w:t>
      </w:r>
    </w:p>
    <w:p w14:paraId="1D3852FE">
      <w:pPr>
        <w:spacing w:afterLines="50" w:line="360" w:lineRule="exact"/>
        <w:ind w:firstLine="420" w:firstLineChars="200"/>
        <w:rPr>
          <w:rFonts w:ascii="宋体" w:hAnsi="宋体" w:eastAsia="宋体"/>
          <w:szCs w:val="21"/>
        </w:rPr>
      </w:pPr>
      <w:r>
        <w:rPr>
          <w:rFonts w:hint="eastAsia" w:ascii="宋体" w:hAnsi="宋体" w:eastAsia="宋体"/>
          <w:szCs w:val="21"/>
        </w:rPr>
        <w:t>16.3 供应商同意延长磋商有效期的，不得要求或被允许修改或撤销其竞争性磋商响应文件；供应商拒绝延长的，其响应文件失效。</w:t>
      </w:r>
    </w:p>
    <w:p w14:paraId="3A701D21">
      <w:pPr>
        <w:spacing w:afterLines="50" w:line="360" w:lineRule="exact"/>
        <w:rPr>
          <w:rFonts w:ascii="黑体" w:hAnsi="黑体" w:eastAsia="黑体"/>
          <w:szCs w:val="21"/>
        </w:rPr>
      </w:pPr>
      <w:r>
        <w:rPr>
          <w:rFonts w:hint="eastAsia" w:ascii="黑体" w:hAnsi="黑体" w:eastAsia="黑体"/>
          <w:szCs w:val="21"/>
        </w:rPr>
        <w:t>17、竞争性磋商响应文件的装订、签署和数量</w:t>
      </w:r>
    </w:p>
    <w:p w14:paraId="51E54A41">
      <w:pPr>
        <w:spacing w:afterLines="50" w:line="360" w:lineRule="exact"/>
        <w:ind w:firstLine="420" w:firstLineChars="200"/>
        <w:rPr>
          <w:rFonts w:ascii="宋体" w:hAnsi="宋体" w:eastAsia="宋体"/>
          <w:szCs w:val="21"/>
        </w:rPr>
      </w:pPr>
      <w:r>
        <w:rPr>
          <w:rFonts w:hint="eastAsia" w:ascii="宋体" w:hAnsi="宋体" w:eastAsia="宋体"/>
          <w:szCs w:val="21"/>
        </w:rPr>
        <w:t>17.1 供应商提交的响应文件应包括正本、副本及单独提供的法定代表人授权委托书（或法定代表人身份证明书）、报价</w:t>
      </w:r>
      <w:r>
        <w:rPr>
          <w:rFonts w:hint="eastAsia" w:ascii="宋体" w:hAnsi="宋体" w:eastAsia="宋体"/>
          <w:szCs w:val="21"/>
          <w:lang w:eastAsia="zh-CN"/>
        </w:rPr>
        <w:t>一览表</w:t>
      </w:r>
      <w:r>
        <w:rPr>
          <w:rFonts w:hint="eastAsia" w:ascii="宋体" w:hAnsi="宋体" w:eastAsia="宋体"/>
          <w:szCs w:val="21"/>
        </w:rPr>
        <w:t>。本次磋商供应商提交响应文件正、副本的数量见《供应商须知前附表》。</w:t>
      </w:r>
    </w:p>
    <w:p w14:paraId="42C02E00">
      <w:pPr>
        <w:spacing w:afterLines="50" w:line="360" w:lineRule="exact"/>
        <w:ind w:firstLine="420" w:firstLineChars="200"/>
        <w:rPr>
          <w:rFonts w:ascii="宋体" w:hAnsi="宋体" w:eastAsia="宋体"/>
          <w:szCs w:val="21"/>
        </w:rPr>
      </w:pPr>
      <w:r>
        <w:rPr>
          <w:rFonts w:hint="eastAsia" w:ascii="宋体" w:hAnsi="宋体" w:eastAsia="宋体"/>
          <w:szCs w:val="21"/>
        </w:rPr>
        <w:t>每套响应文件须清楚地标明“正本”、“副本”，响应文件的副本可采用正本的复印件，若副本与正本不符，以正本为准；如单独提供的法定代表人授权委托书（或法定代表人身份证明书）、报价</w:t>
      </w:r>
      <w:r>
        <w:rPr>
          <w:rFonts w:hint="eastAsia" w:ascii="宋体" w:hAnsi="宋体" w:eastAsia="宋体"/>
          <w:szCs w:val="21"/>
          <w:lang w:eastAsia="zh-CN"/>
        </w:rPr>
        <w:t>一览表</w:t>
      </w:r>
      <w:r>
        <w:rPr>
          <w:rFonts w:hint="eastAsia" w:ascii="宋体" w:hAnsi="宋体" w:eastAsia="宋体"/>
          <w:szCs w:val="21"/>
        </w:rPr>
        <w:t>与响应文件正本不符，以正本为准。</w:t>
      </w:r>
    </w:p>
    <w:p w14:paraId="787237E0">
      <w:pPr>
        <w:spacing w:afterLines="50" w:line="360" w:lineRule="exact"/>
        <w:ind w:firstLine="420" w:firstLineChars="200"/>
        <w:rPr>
          <w:rFonts w:ascii="宋体" w:hAnsi="宋体" w:eastAsia="宋体"/>
          <w:szCs w:val="21"/>
        </w:rPr>
      </w:pPr>
      <w:r>
        <w:rPr>
          <w:rFonts w:hint="eastAsia" w:ascii="宋体" w:hAnsi="宋体" w:eastAsia="宋体"/>
          <w:szCs w:val="21"/>
        </w:rPr>
        <w:t>17.2 正本需打印或用不褪色墨水书写，并由法定代表人或授权代表签字并加盖公章。由授权代表签字的，响应文件中应提交《法定代表人授权书》。供应商为自然人的，由供应商本人签字并附身份证明。</w:t>
      </w:r>
    </w:p>
    <w:p w14:paraId="1BAAC5B1">
      <w:pPr>
        <w:spacing w:afterLines="50" w:line="360" w:lineRule="exact"/>
        <w:ind w:firstLine="420" w:firstLineChars="200"/>
        <w:rPr>
          <w:rFonts w:ascii="宋体" w:hAnsi="宋体" w:eastAsia="宋体"/>
          <w:szCs w:val="21"/>
        </w:rPr>
      </w:pPr>
      <w:r>
        <w:rPr>
          <w:rFonts w:hint="eastAsia" w:ascii="宋体" w:hAnsi="宋体" w:eastAsia="宋体"/>
          <w:szCs w:val="21"/>
        </w:rPr>
        <w:t>17.3 竞争性磋商响应文件中的任何行间插字、涂改和增删，必须由法定代表人或授权代表在旁边签字才有效。</w:t>
      </w:r>
    </w:p>
    <w:p w14:paraId="52AC5A1D">
      <w:pPr>
        <w:spacing w:afterLines="50" w:line="360" w:lineRule="exact"/>
        <w:ind w:firstLine="420" w:firstLineChars="200"/>
        <w:rPr>
          <w:rFonts w:ascii="宋体" w:hAnsi="宋体" w:eastAsia="宋体"/>
          <w:szCs w:val="21"/>
        </w:rPr>
      </w:pPr>
      <w:r>
        <w:rPr>
          <w:rFonts w:hint="eastAsia" w:ascii="宋体" w:hAnsi="宋体" w:eastAsia="宋体"/>
          <w:szCs w:val="21"/>
        </w:rPr>
        <w:t>17.4 响应文件应当采用不可拆卸的方法的装订， 对未经装订的竞争性磋商响应文件可能发生的文件散落或缺损及由此产生的后果由磋商供应商承担。</w:t>
      </w:r>
    </w:p>
    <w:p w14:paraId="1ECE3680">
      <w:pPr>
        <w:pStyle w:val="3"/>
        <w:spacing w:beforeLines="0" w:afterLines="50"/>
        <w:jc w:val="both"/>
      </w:pPr>
      <w:bookmarkStart w:id="23" w:name="_Toc528097092"/>
      <w:bookmarkStart w:id="24" w:name="_Toc4270"/>
      <w:r>
        <w:rPr>
          <w:rFonts w:hint="eastAsia"/>
        </w:rPr>
        <w:t>四、 竞争性磋商响应文件的递交</w:t>
      </w:r>
      <w:bookmarkEnd w:id="23"/>
      <w:bookmarkEnd w:id="24"/>
    </w:p>
    <w:p w14:paraId="7790D900">
      <w:pPr>
        <w:spacing w:afterLines="50" w:line="360" w:lineRule="exact"/>
        <w:rPr>
          <w:rFonts w:ascii="黑体" w:hAnsi="黑体" w:eastAsia="黑体"/>
          <w:szCs w:val="21"/>
        </w:rPr>
      </w:pPr>
      <w:r>
        <w:rPr>
          <w:rFonts w:hint="eastAsia" w:ascii="黑体" w:hAnsi="黑体" w:eastAsia="黑体"/>
          <w:szCs w:val="21"/>
        </w:rPr>
        <w:t>18 、竞争性磋商响应文件的密封和标记</w:t>
      </w:r>
    </w:p>
    <w:p w14:paraId="58E2BCD4">
      <w:pPr>
        <w:spacing w:afterLines="50" w:line="360" w:lineRule="exact"/>
        <w:ind w:firstLine="420" w:firstLineChars="200"/>
        <w:rPr>
          <w:rFonts w:ascii="宋体" w:hAnsi="宋体" w:eastAsia="宋体"/>
          <w:szCs w:val="21"/>
        </w:rPr>
      </w:pPr>
      <w:r>
        <w:rPr>
          <w:rFonts w:hint="eastAsia" w:ascii="宋体" w:hAnsi="宋体" w:eastAsia="宋体"/>
          <w:szCs w:val="21"/>
        </w:rPr>
        <w:t>18.1 响应文件的正本、副本文档需加盖供应商公章后一起密封在一个封包内递交，包装上应注明项目名称、供应商相关信息及“</w:t>
      </w:r>
      <w:r>
        <w:rPr>
          <w:rFonts w:hint="eastAsia" w:ascii="宋体" w:hAnsi="宋体" w:eastAsia="宋体"/>
          <w:szCs w:val="21"/>
          <w:u w:val="single"/>
        </w:rPr>
        <w:t xml:space="preserve"> （磋商时间） 前</w:t>
      </w:r>
      <w:r>
        <w:rPr>
          <w:rFonts w:hint="eastAsia" w:ascii="宋体" w:hAnsi="宋体" w:eastAsia="宋体"/>
          <w:szCs w:val="21"/>
        </w:rPr>
        <w:t>不得启封”的字样。</w:t>
      </w:r>
    </w:p>
    <w:p w14:paraId="7BD8DD78">
      <w:pPr>
        <w:spacing w:afterLines="50" w:line="360" w:lineRule="exact"/>
        <w:ind w:firstLine="420" w:firstLineChars="200"/>
        <w:rPr>
          <w:rFonts w:ascii="宋体" w:hAnsi="宋体" w:eastAsia="宋体"/>
          <w:szCs w:val="21"/>
        </w:rPr>
      </w:pPr>
      <w:r>
        <w:rPr>
          <w:rFonts w:hint="eastAsia" w:ascii="宋体" w:hAnsi="宋体" w:eastAsia="宋体"/>
          <w:szCs w:val="21"/>
        </w:rPr>
        <w:t>18.2 为方便磋商记录，供应商还应将一份《</w:t>
      </w:r>
      <w:r>
        <w:rPr>
          <w:rFonts w:hint="eastAsia" w:ascii="宋体" w:hAnsi="宋体" w:eastAsia="宋体"/>
          <w:szCs w:val="21"/>
          <w:lang w:eastAsia="zh-CN"/>
        </w:rPr>
        <w:t>报价一览表</w:t>
      </w:r>
      <w:r>
        <w:rPr>
          <w:rFonts w:hint="eastAsia" w:ascii="宋体" w:hAnsi="宋体" w:eastAsia="宋体"/>
          <w:szCs w:val="21"/>
        </w:rPr>
        <w:t>》 单独密封提交，除需按上款要求注明外还应在信封上标明“</w:t>
      </w:r>
      <w:r>
        <w:rPr>
          <w:rFonts w:hint="eastAsia" w:ascii="宋体" w:hAnsi="宋体" w:eastAsia="宋体"/>
          <w:szCs w:val="21"/>
          <w:lang w:eastAsia="zh-CN"/>
        </w:rPr>
        <w:t>报价一览表</w:t>
      </w:r>
      <w:r>
        <w:rPr>
          <w:rFonts w:hint="eastAsia" w:ascii="宋体" w:hAnsi="宋体" w:eastAsia="宋体"/>
          <w:szCs w:val="21"/>
        </w:rPr>
        <w:t>”字样。</w:t>
      </w:r>
    </w:p>
    <w:p w14:paraId="23CF53EC">
      <w:pPr>
        <w:spacing w:afterLines="50" w:line="360" w:lineRule="exact"/>
        <w:ind w:firstLine="420" w:firstLineChars="200"/>
        <w:rPr>
          <w:rFonts w:ascii="宋体" w:hAnsi="宋体" w:eastAsia="宋体"/>
          <w:szCs w:val="21"/>
        </w:rPr>
      </w:pPr>
      <w:r>
        <w:rPr>
          <w:rFonts w:hint="eastAsia" w:ascii="宋体" w:hAnsi="宋体" w:eastAsia="宋体"/>
          <w:szCs w:val="21"/>
        </w:rPr>
        <w:t>18.3 未按要求密封和加写标记的响应文件为无效文件，采购人、采购代理机构将拒收。</w:t>
      </w:r>
    </w:p>
    <w:p w14:paraId="2BBBF96F">
      <w:pPr>
        <w:spacing w:afterLines="50" w:line="360" w:lineRule="exact"/>
        <w:ind w:firstLine="420" w:firstLineChars="200"/>
        <w:rPr>
          <w:rFonts w:ascii="宋体" w:hAnsi="宋体" w:eastAsia="宋体"/>
          <w:szCs w:val="21"/>
        </w:rPr>
      </w:pPr>
      <w:r>
        <w:rPr>
          <w:rFonts w:hint="eastAsia" w:ascii="宋体" w:hAnsi="宋体" w:eastAsia="宋体"/>
          <w:szCs w:val="21"/>
        </w:rPr>
        <w:t>18.4 要求在磋商时提交样品的，应在样品上标明磋商供应商名称。本项目无需提供样品。</w:t>
      </w:r>
    </w:p>
    <w:p w14:paraId="7EB20CBA">
      <w:pPr>
        <w:spacing w:afterLines="50" w:line="360" w:lineRule="exact"/>
        <w:rPr>
          <w:rFonts w:ascii="黑体" w:hAnsi="黑体" w:eastAsia="黑体"/>
          <w:szCs w:val="21"/>
        </w:rPr>
      </w:pPr>
      <w:r>
        <w:rPr>
          <w:rFonts w:hint="eastAsia" w:ascii="黑体" w:hAnsi="黑体" w:eastAsia="黑体"/>
          <w:szCs w:val="21"/>
        </w:rPr>
        <w:t>19 、竞争性磋商响应文件的送达地点及截止时间</w:t>
      </w:r>
    </w:p>
    <w:p w14:paraId="6B74BDB3">
      <w:pPr>
        <w:spacing w:afterLines="50" w:line="360" w:lineRule="exact"/>
        <w:ind w:firstLine="420" w:firstLineChars="200"/>
        <w:rPr>
          <w:rFonts w:ascii="宋体" w:hAnsi="宋体" w:eastAsia="宋体"/>
          <w:szCs w:val="21"/>
        </w:rPr>
      </w:pPr>
      <w:r>
        <w:rPr>
          <w:rFonts w:hint="eastAsia" w:ascii="宋体" w:hAnsi="宋体" w:eastAsia="宋体"/>
          <w:szCs w:val="21"/>
        </w:rPr>
        <w:t>19.1截止时间是竞争性磋商文件中规定的首次送达、提交响应文件的最后时间。本次磋商响应文件的送达地点及截止时间见《供应商须知前附表》。</w:t>
      </w:r>
    </w:p>
    <w:p w14:paraId="7E4CDD76">
      <w:pPr>
        <w:spacing w:afterLines="50" w:line="360" w:lineRule="exact"/>
        <w:rPr>
          <w:rFonts w:ascii="黑体" w:hAnsi="黑体" w:eastAsia="黑体"/>
          <w:szCs w:val="21"/>
        </w:rPr>
      </w:pPr>
      <w:r>
        <w:rPr>
          <w:rFonts w:hint="eastAsia" w:ascii="黑体" w:hAnsi="黑体" w:eastAsia="黑体"/>
          <w:szCs w:val="21"/>
        </w:rPr>
        <w:t>20、迟交的竞争性磋商响应文件</w:t>
      </w:r>
    </w:p>
    <w:p w14:paraId="532B1601">
      <w:pPr>
        <w:spacing w:afterLines="50" w:line="360" w:lineRule="exact"/>
        <w:ind w:firstLine="420" w:firstLineChars="200"/>
        <w:rPr>
          <w:rFonts w:ascii="宋体" w:hAnsi="宋体" w:eastAsia="宋体"/>
          <w:szCs w:val="21"/>
        </w:rPr>
      </w:pPr>
      <w:r>
        <w:rPr>
          <w:rFonts w:hint="eastAsia" w:ascii="宋体" w:hAnsi="宋体" w:eastAsia="宋体"/>
          <w:szCs w:val="21"/>
        </w:rPr>
        <w:t>20.1 在本次磋商递交响应文件的截止时间以后送达的响应文件，不论何种原因，采购代理机构将拒收。</w:t>
      </w:r>
    </w:p>
    <w:p w14:paraId="19BC64C1">
      <w:pPr>
        <w:spacing w:afterLines="50" w:line="360" w:lineRule="exact"/>
        <w:rPr>
          <w:rFonts w:ascii="黑体" w:hAnsi="黑体" w:eastAsia="黑体"/>
          <w:szCs w:val="21"/>
        </w:rPr>
      </w:pPr>
      <w:r>
        <w:rPr>
          <w:rFonts w:hint="eastAsia" w:ascii="黑体" w:hAnsi="黑体" w:eastAsia="黑体"/>
          <w:szCs w:val="21"/>
        </w:rPr>
        <w:t>21、竞争性磋商响应文件的补充、修改或者撤回</w:t>
      </w:r>
    </w:p>
    <w:p w14:paraId="42D84679">
      <w:pPr>
        <w:spacing w:afterLines="50" w:line="360" w:lineRule="exact"/>
        <w:ind w:firstLine="420" w:firstLineChars="200"/>
        <w:rPr>
          <w:rFonts w:ascii="宋体" w:hAnsi="宋体" w:eastAsia="宋体"/>
          <w:szCs w:val="21"/>
        </w:rPr>
      </w:pPr>
      <w:r>
        <w:rPr>
          <w:rFonts w:hint="eastAsia" w:ascii="宋体" w:hAnsi="宋体" w:eastAsia="宋体"/>
          <w:szCs w:val="21"/>
        </w:rPr>
        <w:t>21.1 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75E98B5B">
      <w:pPr>
        <w:spacing w:afterLines="50" w:line="360" w:lineRule="exact"/>
        <w:ind w:firstLine="420" w:firstLineChars="200"/>
        <w:rPr>
          <w:rFonts w:ascii="宋体" w:hAnsi="宋体" w:eastAsia="宋体"/>
          <w:szCs w:val="21"/>
        </w:rPr>
      </w:pPr>
      <w:r>
        <w:rPr>
          <w:rFonts w:hint="eastAsia" w:ascii="宋体" w:hAnsi="宋体" w:eastAsia="宋体"/>
          <w:szCs w:val="21"/>
        </w:rPr>
        <w:t>21.2 从提交响应文件截止时间至磋商有效期期满这段时间，供应商不得修改或撤销其响应文件，否则其磋商保证金将不予以退还。</w:t>
      </w:r>
    </w:p>
    <w:p w14:paraId="512CEA54">
      <w:pPr>
        <w:spacing w:afterLines="50" w:line="360" w:lineRule="exact"/>
        <w:ind w:firstLine="420" w:firstLineChars="200"/>
        <w:rPr>
          <w:rFonts w:ascii="宋体" w:hAnsi="宋体" w:eastAsia="宋体"/>
          <w:szCs w:val="21"/>
        </w:rPr>
      </w:pPr>
      <w:r>
        <w:rPr>
          <w:rFonts w:hint="eastAsia" w:ascii="宋体" w:hAnsi="宋体" w:eastAsia="宋体"/>
          <w:szCs w:val="21"/>
        </w:rPr>
        <w:t>21.3 供应商所提交的响应文件在磋商结束后，无论成交与否都不退还。</w:t>
      </w:r>
    </w:p>
    <w:p w14:paraId="3C280511">
      <w:pPr>
        <w:pStyle w:val="3"/>
        <w:spacing w:beforeLines="0" w:afterLines="50"/>
        <w:jc w:val="both"/>
      </w:pPr>
      <w:bookmarkStart w:id="25" w:name="_Toc15880"/>
      <w:bookmarkStart w:id="26" w:name="_Toc528097093"/>
      <w:r>
        <w:rPr>
          <w:rFonts w:hint="eastAsia"/>
        </w:rPr>
        <w:t>五、 磋商程序及步骤</w:t>
      </w:r>
      <w:bookmarkEnd w:id="25"/>
      <w:bookmarkEnd w:id="26"/>
    </w:p>
    <w:p w14:paraId="7F88A8B1">
      <w:pPr>
        <w:spacing w:afterLines="50" w:line="360" w:lineRule="exact"/>
        <w:rPr>
          <w:rFonts w:ascii="黑体" w:hAnsi="黑体" w:eastAsia="黑体"/>
          <w:szCs w:val="21"/>
        </w:rPr>
      </w:pPr>
      <w:r>
        <w:rPr>
          <w:rFonts w:hint="eastAsia" w:ascii="黑体" w:hAnsi="黑体" w:eastAsia="黑体"/>
          <w:szCs w:val="21"/>
        </w:rPr>
        <w:t>22、竞争性磋商小组</w:t>
      </w:r>
    </w:p>
    <w:p w14:paraId="411CC045">
      <w:pPr>
        <w:spacing w:afterLines="50" w:line="360" w:lineRule="exact"/>
        <w:ind w:firstLine="420" w:firstLineChars="200"/>
        <w:rPr>
          <w:rFonts w:ascii="宋体" w:hAnsi="宋体" w:eastAsia="宋体"/>
          <w:szCs w:val="21"/>
        </w:rPr>
      </w:pPr>
      <w:r>
        <w:rPr>
          <w:rFonts w:hint="eastAsia" w:ascii="宋体" w:hAnsi="宋体" w:eastAsia="宋体"/>
          <w:szCs w:val="21"/>
        </w:rPr>
        <w:t>22.1 采购人依照 《中华人民共和国政府采购法》、《中华人民共和国政府采购法实施条例》 、《政府采购竞争性磋商采购方式管理暂行办法》及现行法律规定组建磋商小组，磋商小组由采购人代表和评审专家共 3 人组成。磋商小组人数详见《供应商须知前附表》。</w:t>
      </w:r>
    </w:p>
    <w:p w14:paraId="06F390FA">
      <w:pPr>
        <w:spacing w:afterLines="50" w:line="360" w:lineRule="exact"/>
        <w:ind w:firstLine="420" w:firstLineChars="200"/>
        <w:rPr>
          <w:rFonts w:ascii="宋体" w:hAnsi="宋体" w:eastAsia="宋体"/>
          <w:szCs w:val="21"/>
        </w:rPr>
      </w:pPr>
      <w:r>
        <w:rPr>
          <w:rFonts w:hint="eastAsia" w:ascii="宋体" w:hAnsi="宋体" w:eastAsia="宋体"/>
          <w:szCs w:val="21"/>
        </w:rPr>
        <w:t>22.2 磋商小组中的评审专家人数不少于磋商小组成员总数的 2/3。除本采购文件另有规定，评审专家将从政府采购评审专家库中随机抽取。</w:t>
      </w:r>
    </w:p>
    <w:p w14:paraId="12DA26BC">
      <w:pPr>
        <w:spacing w:afterLines="50" w:line="360" w:lineRule="exact"/>
        <w:ind w:firstLine="420" w:firstLineChars="200"/>
        <w:rPr>
          <w:rFonts w:ascii="宋体" w:hAnsi="宋体" w:eastAsia="宋体"/>
          <w:szCs w:val="21"/>
        </w:rPr>
      </w:pPr>
      <w:r>
        <w:rPr>
          <w:rFonts w:hint="eastAsia" w:ascii="宋体" w:hAnsi="宋体" w:eastAsia="宋体"/>
          <w:szCs w:val="21"/>
        </w:rPr>
        <w:t>22.3 磋商小组所有成员按事先抽取的磋商顺序，集中与磋商供应商分别进行磋商，并给予所有参加磋商的供应商平等的磋商机会。</w:t>
      </w:r>
    </w:p>
    <w:p w14:paraId="22AFF27D">
      <w:pPr>
        <w:spacing w:afterLines="50" w:line="360" w:lineRule="exact"/>
        <w:rPr>
          <w:rFonts w:ascii="黑体" w:hAnsi="黑体" w:eastAsia="黑体"/>
          <w:szCs w:val="21"/>
        </w:rPr>
      </w:pPr>
      <w:r>
        <w:rPr>
          <w:rFonts w:hint="eastAsia" w:ascii="黑体" w:hAnsi="黑体" w:eastAsia="黑体"/>
          <w:szCs w:val="21"/>
        </w:rPr>
        <w:t>23、磋商代表</w:t>
      </w:r>
    </w:p>
    <w:p w14:paraId="030EC684">
      <w:pPr>
        <w:spacing w:afterLines="50" w:line="360" w:lineRule="exact"/>
        <w:ind w:firstLine="420" w:firstLineChars="200"/>
        <w:rPr>
          <w:rFonts w:ascii="宋体" w:hAnsi="宋体" w:eastAsia="宋体"/>
          <w:szCs w:val="21"/>
        </w:rPr>
      </w:pPr>
      <w:r>
        <w:rPr>
          <w:rFonts w:hint="eastAsia" w:ascii="宋体" w:hAnsi="宋体" w:eastAsia="宋体"/>
          <w:szCs w:val="21"/>
        </w:rPr>
        <w:t>23.1 磋商供应商法定代表人或授权代表应携带本人身份证明参加磋商，授权代表参加磋商的，还应携带法定代表人授权书原件。磋商代表经磋商小组核对身份后，方可参加磋商。</w:t>
      </w:r>
    </w:p>
    <w:p w14:paraId="6E23D40A">
      <w:pPr>
        <w:spacing w:afterLines="50" w:line="360" w:lineRule="exact"/>
        <w:rPr>
          <w:rFonts w:ascii="黑体" w:hAnsi="黑体" w:eastAsia="黑体"/>
          <w:szCs w:val="21"/>
        </w:rPr>
      </w:pPr>
      <w:r>
        <w:rPr>
          <w:rFonts w:hint="eastAsia" w:ascii="黑体" w:hAnsi="黑体" w:eastAsia="黑体"/>
          <w:szCs w:val="21"/>
        </w:rPr>
        <w:t>24、资格审查和符合性审查</w:t>
      </w:r>
    </w:p>
    <w:p w14:paraId="12135C0E">
      <w:pPr>
        <w:spacing w:afterLines="50" w:line="360" w:lineRule="exact"/>
        <w:ind w:firstLine="420" w:firstLineChars="200"/>
        <w:rPr>
          <w:rFonts w:ascii="宋体" w:hAnsi="宋体" w:eastAsia="宋体"/>
          <w:szCs w:val="21"/>
        </w:rPr>
      </w:pPr>
      <w:r>
        <w:rPr>
          <w:rFonts w:hint="eastAsia" w:ascii="宋体" w:hAnsi="宋体" w:eastAsia="宋体"/>
          <w:szCs w:val="21"/>
        </w:rPr>
        <w:t>24.1在正式磋商前， 本磋商文件第四章规定的程序和方法，对供应商进行资格性审查和符合性审查，通过资格性审查和符合性审查，实质性响应磋商文件的供应商方可进入磋商程序。</w:t>
      </w:r>
    </w:p>
    <w:p w14:paraId="7C492C57">
      <w:pPr>
        <w:spacing w:afterLines="50" w:line="360" w:lineRule="exact"/>
        <w:rPr>
          <w:rFonts w:ascii="黑体" w:hAnsi="黑体" w:eastAsia="黑体"/>
          <w:szCs w:val="21"/>
        </w:rPr>
      </w:pPr>
      <w:r>
        <w:rPr>
          <w:rFonts w:hint="eastAsia" w:ascii="黑体" w:hAnsi="黑体" w:eastAsia="黑体"/>
          <w:szCs w:val="21"/>
        </w:rPr>
        <w:t>25、磋商</w:t>
      </w:r>
    </w:p>
    <w:p w14:paraId="39053940">
      <w:pPr>
        <w:spacing w:afterLines="50" w:line="360" w:lineRule="exact"/>
        <w:ind w:firstLine="420" w:firstLineChars="200"/>
        <w:rPr>
          <w:rFonts w:ascii="宋体" w:hAnsi="宋体" w:eastAsia="宋体"/>
          <w:szCs w:val="21"/>
        </w:rPr>
      </w:pPr>
      <w:r>
        <w:rPr>
          <w:rFonts w:hint="eastAsia" w:ascii="宋体" w:hAnsi="宋体" w:eastAsia="宋体"/>
          <w:szCs w:val="21"/>
        </w:rPr>
        <w:t>25.1 磋商小组将根据本磋商文件第四章规定的程序和方法与进行磋商。在磋商中，磋商的任何一方不得透露与磋商有关的其他磋商供应商的技术资料、价格和其他信息。</w:t>
      </w:r>
    </w:p>
    <w:p w14:paraId="0F294449">
      <w:pPr>
        <w:spacing w:afterLines="50" w:line="360" w:lineRule="exact"/>
        <w:ind w:firstLine="420" w:firstLineChars="200"/>
        <w:rPr>
          <w:rFonts w:ascii="宋体" w:hAnsi="宋体" w:eastAsia="宋体"/>
          <w:szCs w:val="21"/>
        </w:rPr>
      </w:pPr>
      <w:r>
        <w:rPr>
          <w:rFonts w:hint="eastAsia" w:ascii="宋体" w:hAnsi="宋体" w:eastAsia="宋体"/>
          <w:szCs w:val="21"/>
        </w:rPr>
        <w:t>25.2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并提供必要的修正时间。</w:t>
      </w:r>
    </w:p>
    <w:p w14:paraId="04FCAB8A">
      <w:pPr>
        <w:spacing w:afterLines="50" w:line="360" w:lineRule="exact"/>
        <w:ind w:firstLine="420" w:firstLineChars="200"/>
        <w:rPr>
          <w:rFonts w:ascii="宋体" w:hAnsi="宋体" w:eastAsia="宋体"/>
          <w:szCs w:val="21"/>
        </w:rPr>
      </w:pPr>
      <w:r>
        <w:rPr>
          <w:rFonts w:hint="eastAsia" w:ascii="宋体" w:hAnsi="宋体" w:eastAsia="宋体"/>
          <w:szCs w:val="21"/>
        </w:rPr>
        <w:t>25.3 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放弃磋商的供应商的磋商保证金将在成交通知书发放后的五个工作日内退还。</w:t>
      </w:r>
    </w:p>
    <w:p w14:paraId="6D107655">
      <w:pPr>
        <w:spacing w:afterLines="50" w:line="360" w:lineRule="exact"/>
        <w:ind w:firstLine="420" w:firstLineChars="200"/>
        <w:rPr>
          <w:rFonts w:ascii="宋体" w:hAnsi="宋体" w:eastAsia="宋体"/>
          <w:szCs w:val="21"/>
        </w:rPr>
      </w:pPr>
      <w:r>
        <w:rPr>
          <w:rFonts w:hint="eastAsia" w:ascii="宋体" w:hAnsi="宋体" w:eastAsia="宋体"/>
          <w:szCs w:val="21"/>
        </w:rPr>
        <w:t>25.4 最后报价</w:t>
      </w:r>
    </w:p>
    <w:p w14:paraId="275DE90D">
      <w:pPr>
        <w:spacing w:afterLines="50" w:line="360" w:lineRule="exact"/>
        <w:ind w:firstLine="420" w:firstLineChars="200"/>
        <w:rPr>
          <w:rFonts w:ascii="宋体" w:hAnsi="宋体" w:eastAsia="宋体"/>
          <w:szCs w:val="21"/>
        </w:rPr>
      </w:pPr>
      <w:r>
        <w:rPr>
          <w:rFonts w:hint="eastAsia" w:ascii="宋体" w:hAnsi="宋体" w:eastAsia="宋体"/>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最后报价为本次竞争性磋商不可变动的最终价格。</w:t>
      </w:r>
    </w:p>
    <w:p w14:paraId="5F743A1A">
      <w:pPr>
        <w:spacing w:afterLines="50" w:line="360" w:lineRule="exact"/>
        <w:ind w:firstLine="420" w:firstLineChars="200"/>
        <w:rPr>
          <w:rFonts w:ascii="宋体" w:hAnsi="宋体" w:eastAsia="宋体"/>
          <w:szCs w:val="21"/>
        </w:rPr>
      </w:pPr>
      <w:r>
        <w:rPr>
          <w:rFonts w:hint="eastAsia" w:ascii="宋体" w:hAnsi="宋体" w:eastAsia="宋体"/>
          <w:szCs w:val="21"/>
        </w:rPr>
        <w:t>磋商文件能够详细列明采购标的的技术、服务要求的，磋商结束后，磋商小组应当要求所有继续参加磋商的供应商在规定时间内提交最后报价，提交最后报价的供应商不得少于 3 家。</w:t>
      </w:r>
    </w:p>
    <w:p w14:paraId="78DF6DA1">
      <w:pPr>
        <w:spacing w:afterLines="50" w:line="360" w:lineRule="exact"/>
        <w:ind w:firstLine="420" w:firstLineChars="200"/>
        <w:rPr>
          <w:rFonts w:ascii="宋体" w:hAnsi="宋体" w:eastAsia="宋体"/>
          <w:szCs w:val="21"/>
        </w:rPr>
      </w:pPr>
      <w:r>
        <w:rPr>
          <w:rFonts w:hint="eastAsia" w:ascii="宋体" w:hAnsi="宋体" w:eastAsia="宋体"/>
          <w:szCs w:val="21"/>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1F9C0E40">
      <w:pPr>
        <w:spacing w:afterLines="50" w:line="360" w:lineRule="exact"/>
        <w:ind w:firstLine="420" w:firstLineChars="200"/>
        <w:rPr>
          <w:rFonts w:ascii="宋体" w:hAnsi="宋体" w:eastAsia="宋体"/>
          <w:szCs w:val="21"/>
        </w:rPr>
      </w:pPr>
      <w:r>
        <w:rPr>
          <w:rFonts w:hint="eastAsia" w:ascii="宋体" w:hAnsi="宋体" w:eastAsia="宋体"/>
          <w:szCs w:val="21"/>
        </w:rPr>
        <w:t>本采购项目提交最后报价供应商的确定方式详见《供应商须知前附表》。</w:t>
      </w:r>
    </w:p>
    <w:p w14:paraId="398238C9">
      <w:pPr>
        <w:spacing w:afterLines="50" w:line="360" w:lineRule="exact"/>
        <w:ind w:firstLine="420" w:firstLineChars="200"/>
        <w:rPr>
          <w:rFonts w:ascii="宋体" w:hAnsi="宋体" w:eastAsia="宋体"/>
          <w:szCs w:val="21"/>
        </w:rPr>
      </w:pPr>
      <w:r>
        <w:rPr>
          <w:rFonts w:hint="eastAsia" w:ascii="宋体" w:hAnsi="宋体" w:eastAsia="宋体"/>
          <w:szCs w:val="21"/>
        </w:rPr>
        <w:t>25.5 如有需要，磋商小组可进行多轮磋商，直至最终确定竞争性磋商采购文件采购需求中的技术、服务要求以及合同草案条款。如竞争性磋商采购文件无需修改，可直接要求磋商供应商提交最后报价。</w:t>
      </w:r>
    </w:p>
    <w:p w14:paraId="2C44F423">
      <w:pPr>
        <w:spacing w:afterLines="50" w:line="360" w:lineRule="exact"/>
        <w:ind w:firstLine="420" w:firstLineChars="200"/>
        <w:rPr>
          <w:rFonts w:ascii="宋体" w:hAnsi="宋体" w:eastAsia="宋体"/>
          <w:szCs w:val="21"/>
        </w:rPr>
      </w:pPr>
      <w:r>
        <w:rPr>
          <w:rFonts w:hint="eastAsia" w:ascii="宋体" w:hAnsi="宋体" w:eastAsia="宋体"/>
          <w:szCs w:val="21"/>
        </w:rPr>
        <w:t>25.6 磋商小组审核完最终报价后， 根据竞争性磋商采购文件规定的评定办法推荐成交候选人或根据采购人的书面授权直接确定成交供应商。</w:t>
      </w:r>
    </w:p>
    <w:p w14:paraId="1641D041">
      <w:pPr>
        <w:spacing w:afterLines="50" w:line="360" w:lineRule="exact"/>
        <w:ind w:firstLine="420" w:firstLineChars="200"/>
        <w:rPr>
          <w:rFonts w:ascii="宋体" w:hAnsi="宋体" w:eastAsia="宋体"/>
          <w:szCs w:val="21"/>
        </w:rPr>
      </w:pPr>
      <w:r>
        <w:rPr>
          <w:rFonts w:hint="eastAsia" w:ascii="宋体" w:hAnsi="宋体" w:eastAsia="宋体"/>
          <w:szCs w:val="21"/>
        </w:rPr>
        <w:t>25.7 采购代理机构对磋商过程和重要磋商内容进行记录，磋商双方在记录上签字确认。</w:t>
      </w:r>
    </w:p>
    <w:p w14:paraId="562D34F0">
      <w:pPr>
        <w:spacing w:afterLines="50" w:line="360" w:lineRule="exact"/>
        <w:rPr>
          <w:rFonts w:ascii="黑体" w:hAnsi="黑体" w:eastAsia="黑体"/>
          <w:szCs w:val="21"/>
        </w:rPr>
      </w:pPr>
      <w:r>
        <w:rPr>
          <w:rFonts w:hint="eastAsia" w:ascii="黑体" w:hAnsi="黑体" w:eastAsia="黑体"/>
          <w:szCs w:val="21"/>
        </w:rPr>
        <w:t>26、保密</w:t>
      </w:r>
    </w:p>
    <w:p w14:paraId="3B8FBFBE">
      <w:pPr>
        <w:spacing w:afterLines="50" w:line="360" w:lineRule="exact"/>
        <w:ind w:firstLine="420" w:firstLineChars="200"/>
        <w:rPr>
          <w:rFonts w:ascii="宋体" w:hAnsi="宋体" w:eastAsia="宋体"/>
          <w:szCs w:val="21"/>
        </w:rPr>
      </w:pPr>
      <w:r>
        <w:rPr>
          <w:rFonts w:hint="eastAsia" w:ascii="宋体" w:hAnsi="宋体" w:eastAsia="宋体"/>
          <w:szCs w:val="21"/>
        </w:rPr>
        <w:t>26.1 凡是属于审查、澄清、评价和比较的有关资料以及授标意向等，采购人、采购代理机构、监管人员、磋商小组及有关工作人员均不得向供应商或其它无关的人员透露。</w:t>
      </w:r>
    </w:p>
    <w:p w14:paraId="2E4E8472">
      <w:pPr>
        <w:pStyle w:val="3"/>
        <w:spacing w:beforeLines="0" w:afterLines="50"/>
        <w:jc w:val="both"/>
      </w:pPr>
      <w:bookmarkStart w:id="27" w:name="_Toc528097094"/>
      <w:bookmarkStart w:id="28" w:name="_Toc9622"/>
      <w:r>
        <w:rPr>
          <w:rFonts w:hint="eastAsia"/>
        </w:rPr>
        <w:t>六、 成交与签订合同</w:t>
      </w:r>
      <w:bookmarkEnd w:id="27"/>
      <w:bookmarkEnd w:id="28"/>
    </w:p>
    <w:p w14:paraId="0DEED305">
      <w:pPr>
        <w:spacing w:afterLines="50" w:line="360" w:lineRule="exact"/>
        <w:rPr>
          <w:rFonts w:ascii="黑体" w:hAnsi="黑体" w:eastAsia="黑体"/>
          <w:szCs w:val="21"/>
        </w:rPr>
      </w:pPr>
      <w:r>
        <w:rPr>
          <w:rFonts w:hint="eastAsia" w:ascii="黑体" w:hAnsi="黑体" w:eastAsia="黑体"/>
          <w:szCs w:val="21"/>
        </w:rPr>
        <w:t>27、合同授予标准</w:t>
      </w:r>
    </w:p>
    <w:p w14:paraId="36510DE9">
      <w:pPr>
        <w:spacing w:afterLines="50" w:line="360" w:lineRule="exact"/>
        <w:ind w:firstLine="420" w:firstLineChars="200"/>
        <w:rPr>
          <w:rFonts w:ascii="宋体" w:hAnsi="宋体" w:eastAsia="宋体"/>
          <w:szCs w:val="21"/>
        </w:rPr>
      </w:pPr>
      <w:r>
        <w:rPr>
          <w:rFonts w:hint="eastAsia" w:ascii="宋体" w:hAnsi="宋体" w:eastAsia="宋体"/>
          <w:szCs w:val="21"/>
        </w:rPr>
        <w:t>27.1 采购人将把合同授予排名第一的供应商，特殊情况按本须知29.3的规定执行。</w:t>
      </w:r>
    </w:p>
    <w:p w14:paraId="7410D95E">
      <w:pPr>
        <w:spacing w:afterLines="50" w:line="360" w:lineRule="exact"/>
        <w:rPr>
          <w:rFonts w:ascii="黑体" w:hAnsi="黑体" w:eastAsia="黑体"/>
          <w:szCs w:val="21"/>
        </w:rPr>
      </w:pPr>
      <w:r>
        <w:rPr>
          <w:rFonts w:hint="eastAsia" w:ascii="黑体" w:hAnsi="黑体" w:eastAsia="黑体"/>
          <w:szCs w:val="21"/>
        </w:rPr>
        <w:t>28、签订合同</w:t>
      </w:r>
    </w:p>
    <w:p w14:paraId="5ABB0413">
      <w:pPr>
        <w:spacing w:afterLines="50" w:line="360" w:lineRule="exact"/>
        <w:ind w:firstLine="420" w:firstLineChars="200"/>
        <w:rPr>
          <w:rFonts w:ascii="宋体" w:hAnsi="宋体" w:eastAsia="宋体"/>
          <w:szCs w:val="21"/>
        </w:rPr>
      </w:pPr>
      <w:r>
        <w:rPr>
          <w:rFonts w:hint="eastAsia" w:ascii="宋体" w:hAnsi="宋体" w:eastAsia="宋体"/>
          <w:szCs w:val="21"/>
        </w:rPr>
        <w:t>28.1 竞争性磋商采购文件对履约保证金有规定的， 成交供应商应按规定在签订合同前缴纳履约保证金。有关履约保证金的规定《供应商须知前附表》。</w:t>
      </w:r>
    </w:p>
    <w:p w14:paraId="635C5705">
      <w:pPr>
        <w:spacing w:afterLines="50" w:line="360" w:lineRule="exact"/>
        <w:ind w:firstLine="420" w:firstLineChars="200"/>
        <w:rPr>
          <w:rFonts w:ascii="宋体" w:hAnsi="宋体" w:eastAsia="宋体"/>
          <w:szCs w:val="21"/>
        </w:rPr>
      </w:pPr>
      <w:r>
        <w:rPr>
          <w:rFonts w:hint="eastAsia" w:ascii="宋体" w:hAnsi="宋体" w:eastAsia="宋体"/>
          <w:szCs w:val="21"/>
        </w:rPr>
        <w:t>28.2 采购人与成交供应商应当在成交通知书发出之日起30日内， 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D84E8A4">
      <w:pPr>
        <w:spacing w:afterLines="50" w:line="360" w:lineRule="exact"/>
        <w:ind w:firstLine="420" w:firstLineChars="200"/>
        <w:rPr>
          <w:rFonts w:ascii="宋体" w:hAnsi="宋体" w:eastAsia="宋体"/>
          <w:szCs w:val="21"/>
        </w:rPr>
      </w:pPr>
      <w:r>
        <w:rPr>
          <w:rFonts w:hint="eastAsia" w:ascii="宋体" w:hAnsi="宋体" w:eastAsia="宋体"/>
          <w:szCs w:val="21"/>
        </w:rPr>
        <w:t>采购人应当自政府采购合同签订之日起2个工作日内， 将政府采购合同在省级以上人民政府指定的媒体上公告，但政府采购合同中涉及国家秘密、商业秘密的内容除外。</w:t>
      </w:r>
    </w:p>
    <w:p w14:paraId="0F5D292B">
      <w:pPr>
        <w:spacing w:afterLines="50" w:line="360" w:lineRule="exact"/>
        <w:ind w:firstLine="420" w:firstLineChars="200"/>
        <w:rPr>
          <w:rFonts w:ascii="宋体" w:hAnsi="宋体" w:eastAsia="宋体"/>
          <w:szCs w:val="21"/>
        </w:rPr>
      </w:pPr>
      <w:r>
        <w:rPr>
          <w:rFonts w:hint="eastAsia" w:ascii="宋体" w:hAnsi="宋体" w:eastAsia="宋体"/>
          <w:szCs w:val="21"/>
        </w:rPr>
        <w:t>28.3 中标人拒绝与采购人签订合同的，采购人可以按照评审报告推荐的中标候选人名单排序，确定下一候选人为中标人，也可以重新开展政府采购活动。</w:t>
      </w:r>
    </w:p>
    <w:p w14:paraId="1131F400">
      <w:pPr>
        <w:spacing w:afterLines="50" w:line="360" w:lineRule="exact"/>
        <w:ind w:firstLine="420" w:firstLineChars="200"/>
        <w:rPr>
          <w:rFonts w:ascii="宋体" w:hAnsi="宋体" w:eastAsia="宋体"/>
          <w:szCs w:val="21"/>
        </w:rPr>
      </w:pPr>
      <w:r>
        <w:rPr>
          <w:rFonts w:hint="eastAsia" w:ascii="宋体" w:hAnsi="宋体" w:eastAsia="宋体"/>
          <w:szCs w:val="21"/>
        </w:rPr>
        <w:t>28.4 签订政府采购合同后7个工作日内，采购人应将政府采购合同副本报同级政府采购监管部门备案。</w:t>
      </w:r>
    </w:p>
    <w:p w14:paraId="09F5D7A8">
      <w:pPr>
        <w:spacing w:afterLines="50" w:line="360" w:lineRule="exact"/>
        <w:ind w:firstLine="420" w:firstLineChars="200"/>
        <w:rPr>
          <w:rFonts w:ascii="宋体" w:hAnsi="宋体" w:eastAsia="宋体"/>
          <w:szCs w:val="21"/>
        </w:rPr>
      </w:pPr>
      <w:r>
        <w:rPr>
          <w:rFonts w:hint="eastAsia" w:ascii="宋体" w:hAnsi="宋体" w:eastAsia="宋体"/>
          <w:szCs w:val="21"/>
        </w:rPr>
        <w:t>28.5 采购代理机构将配合采购人与成交供应商签订政府采购合同。 采购人与成交供应商应按竞争性磋商采购文件要求和成交供应商的竞争性磋商响应文件承诺订立书面合同，不得超出竞争性磋商采购文件和成交供应商竞争性磋商响应文件的范围， 也不得再行订立背离合同实质性内容的其他协议。</w:t>
      </w:r>
    </w:p>
    <w:p w14:paraId="3860EEA4">
      <w:pPr>
        <w:spacing w:afterLines="50" w:line="360" w:lineRule="exact"/>
        <w:ind w:firstLine="420" w:firstLineChars="200"/>
        <w:rPr>
          <w:rFonts w:ascii="宋体" w:hAnsi="宋体" w:eastAsia="宋体"/>
          <w:szCs w:val="21"/>
        </w:rPr>
      </w:pPr>
      <w:r>
        <w:rPr>
          <w:rFonts w:hint="eastAsia" w:ascii="宋体" w:hAnsi="宋体" w:eastAsia="宋体"/>
          <w:szCs w:val="21"/>
        </w:rPr>
        <w:t>28.6 除不可抗力等因素外，成交通知书发出后，采购人改变成交结果，或者成交供应商拒绝签订政府采购合同的，应当承担相应的法律责任。</w:t>
      </w:r>
    </w:p>
    <w:p w14:paraId="7B44E8AE">
      <w:pPr>
        <w:spacing w:afterLines="50" w:line="360" w:lineRule="exact"/>
        <w:ind w:firstLine="420" w:firstLineChars="200"/>
        <w:rPr>
          <w:rFonts w:ascii="宋体" w:hAnsi="宋体" w:eastAsia="宋体"/>
          <w:szCs w:val="21"/>
        </w:rPr>
      </w:pPr>
      <w:r>
        <w:rPr>
          <w:rFonts w:hint="eastAsia" w:ascii="宋体" w:hAnsi="宋体" w:eastAsia="宋体"/>
          <w:szCs w:val="21"/>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14:paraId="0B82FF24">
      <w:pPr>
        <w:pStyle w:val="3"/>
        <w:spacing w:beforeLines="0" w:afterLines="50"/>
        <w:jc w:val="both"/>
      </w:pPr>
      <w:bookmarkStart w:id="29" w:name="_Toc528097095"/>
      <w:bookmarkStart w:id="30" w:name="_Toc18127"/>
      <w:r>
        <w:rPr>
          <w:rFonts w:hint="eastAsia"/>
        </w:rPr>
        <w:t>七、质疑与投诉</w:t>
      </w:r>
      <w:bookmarkEnd w:id="29"/>
      <w:bookmarkEnd w:id="30"/>
    </w:p>
    <w:p w14:paraId="4D356171">
      <w:pPr>
        <w:spacing w:afterLines="50" w:line="360" w:lineRule="exact"/>
        <w:rPr>
          <w:rFonts w:ascii="黑体" w:hAnsi="黑体" w:eastAsia="黑体"/>
          <w:szCs w:val="21"/>
        </w:rPr>
      </w:pPr>
      <w:r>
        <w:rPr>
          <w:rFonts w:hint="eastAsia" w:ascii="黑体" w:hAnsi="黑体" w:eastAsia="黑体"/>
          <w:szCs w:val="21"/>
        </w:rPr>
        <w:t>29、质疑</w:t>
      </w:r>
    </w:p>
    <w:p w14:paraId="6B9E4143">
      <w:pPr>
        <w:spacing w:afterLines="50" w:line="360" w:lineRule="exact"/>
        <w:ind w:firstLine="420" w:firstLineChars="200"/>
        <w:rPr>
          <w:rFonts w:ascii="宋体" w:hAnsi="宋体" w:eastAsia="宋体"/>
          <w:szCs w:val="21"/>
        </w:rPr>
      </w:pPr>
      <w:r>
        <w:rPr>
          <w:rFonts w:hint="eastAsia" w:ascii="宋体" w:hAnsi="宋体" w:eastAsia="宋体"/>
          <w:szCs w:val="21"/>
        </w:rPr>
        <w:t>29.1 供应商认为采购文件、采购过程、中标或者成交结果使自己的权益受到损害的，可以在知道或者应知其权益受到损害之日起7个工作日内， 以书面形式向采购人、 采购代理机构提出质疑。</w:t>
      </w:r>
    </w:p>
    <w:p w14:paraId="1769CDDB">
      <w:pPr>
        <w:spacing w:afterLines="50" w:line="360" w:lineRule="exact"/>
        <w:ind w:firstLine="420" w:firstLineChars="200"/>
        <w:rPr>
          <w:rFonts w:ascii="宋体" w:hAnsi="宋体" w:eastAsia="宋体"/>
          <w:szCs w:val="21"/>
        </w:rPr>
      </w:pPr>
      <w:r>
        <w:rPr>
          <w:rFonts w:hint="eastAsia" w:ascii="宋体" w:hAnsi="宋体" w:eastAsia="宋体"/>
          <w:szCs w:val="21"/>
        </w:rPr>
        <w:t>29.2 供应商必须在法定质疑期内一次性提出针对同一采购程序环节的质疑， 不在法定期限内或针对统一采购程序环节的多次质疑，采购代理机构将不予受理。</w:t>
      </w:r>
    </w:p>
    <w:p w14:paraId="5947EA55">
      <w:pPr>
        <w:spacing w:afterLines="50" w:line="360" w:lineRule="exact"/>
        <w:rPr>
          <w:rFonts w:ascii="黑体" w:hAnsi="黑体" w:eastAsia="黑体"/>
          <w:szCs w:val="21"/>
        </w:rPr>
      </w:pPr>
      <w:r>
        <w:rPr>
          <w:rFonts w:hint="eastAsia" w:ascii="黑体" w:hAnsi="黑体" w:eastAsia="黑体"/>
          <w:szCs w:val="21"/>
        </w:rPr>
        <w:t>30、投诉</w:t>
      </w:r>
    </w:p>
    <w:p w14:paraId="216A2AF3">
      <w:pPr>
        <w:spacing w:afterLines="50" w:line="360" w:lineRule="exact"/>
        <w:ind w:firstLine="420" w:firstLineChars="200"/>
        <w:rPr>
          <w:rFonts w:ascii="宋体" w:hAnsi="宋体" w:eastAsia="宋体"/>
          <w:szCs w:val="21"/>
        </w:rPr>
      </w:pPr>
      <w:r>
        <w:rPr>
          <w:rFonts w:hint="eastAsia" w:ascii="宋体" w:hAnsi="宋体" w:eastAsia="宋体"/>
          <w:szCs w:val="21"/>
        </w:rPr>
        <w:t>30.1 质疑供应商对采购人、采购代理机构的答复不满意的，可以在答复期满后15个工作日内向政府采购管理部门提起投诉。</w:t>
      </w:r>
    </w:p>
    <w:p w14:paraId="7C1F556C">
      <w:pPr>
        <w:pStyle w:val="3"/>
        <w:spacing w:beforeLines="0" w:afterLines="50"/>
        <w:jc w:val="both"/>
      </w:pPr>
      <w:bookmarkStart w:id="31" w:name="_Toc528097096"/>
      <w:bookmarkStart w:id="32" w:name="_Toc10093"/>
      <w:r>
        <w:rPr>
          <w:rFonts w:hint="eastAsia"/>
        </w:rPr>
        <w:t>八、适用法律</w:t>
      </w:r>
      <w:bookmarkEnd w:id="31"/>
      <w:bookmarkEnd w:id="32"/>
    </w:p>
    <w:p w14:paraId="111E6B41">
      <w:pPr>
        <w:pStyle w:val="3"/>
        <w:spacing w:beforeLines="0" w:afterLines="50"/>
        <w:ind w:firstLine="420" w:firstLineChars="200"/>
        <w:jc w:val="both"/>
        <w:rPr>
          <w:rFonts w:ascii="宋体" w:hAnsi="宋体" w:eastAsia="宋体"/>
          <w:sz w:val="21"/>
          <w:szCs w:val="21"/>
        </w:rPr>
      </w:pPr>
      <w:bookmarkStart w:id="33" w:name="_Toc528097028"/>
      <w:bookmarkStart w:id="34" w:name="_Toc528097097"/>
      <w:bookmarkStart w:id="35" w:name="_Toc5350"/>
      <w:bookmarkStart w:id="36" w:name="_Toc7457"/>
      <w:r>
        <w:rPr>
          <w:rFonts w:hint="eastAsia" w:ascii="宋体" w:hAnsi="宋体" w:eastAsia="宋体"/>
          <w:sz w:val="21"/>
          <w:szCs w:val="21"/>
        </w:rPr>
        <w:t>采购人、采购代理机构及供应商的一切招标投标活动均适用于《政府采购法》及相关规定。</w:t>
      </w:r>
      <w:bookmarkEnd w:id="33"/>
      <w:bookmarkEnd w:id="34"/>
      <w:bookmarkEnd w:id="35"/>
      <w:bookmarkEnd w:id="36"/>
    </w:p>
    <w:p w14:paraId="17C80090">
      <w:pPr>
        <w:pStyle w:val="3"/>
        <w:spacing w:beforeLines="0" w:afterLines="50"/>
        <w:jc w:val="both"/>
      </w:pPr>
      <w:bookmarkStart w:id="37" w:name="_Toc528097098"/>
      <w:bookmarkStart w:id="38" w:name="_Toc18925"/>
      <w:r>
        <w:rPr>
          <w:rFonts w:hint="eastAsia"/>
        </w:rPr>
        <w:t>九、其他要求</w:t>
      </w:r>
      <w:bookmarkEnd w:id="37"/>
      <w:bookmarkEnd w:id="38"/>
    </w:p>
    <w:p w14:paraId="12A5AD9A">
      <w:pPr>
        <w:spacing w:afterLines="50" w:line="360" w:lineRule="exact"/>
        <w:ind w:firstLine="420" w:firstLineChars="200"/>
        <w:rPr>
          <w:rFonts w:ascii="宋体" w:hAnsi="宋体" w:eastAsia="宋体"/>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szCs w:val="21"/>
        </w:rPr>
        <w:t>见《供应商须知前附表》。</w:t>
      </w:r>
    </w:p>
    <w:p w14:paraId="0359EFD0">
      <w:pPr>
        <w:spacing w:beforeLines="100" w:afterLines="100" w:line="480" w:lineRule="exact"/>
        <w:jc w:val="center"/>
        <w:outlineLvl w:val="0"/>
        <w:rPr>
          <w:rFonts w:ascii="黑体" w:hAnsi="黑体" w:eastAsia="黑体"/>
          <w:b/>
          <w:sz w:val="44"/>
          <w:szCs w:val="44"/>
        </w:rPr>
      </w:pPr>
      <w:bookmarkStart w:id="39" w:name="_Toc28717"/>
      <w:bookmarkStart w:id="40" w:name="_Toc12827_WPSOffice_Level1"/>
      <w:bookmarkStart w:id="41" w:name="_Toc528097100"/>
      <w:r>
        <w:rPr>
          <w:rFonts w:hint="eastAsia" w:ascii="黑体" w:hAnsi="黑体" w:eastAsia="黑体"/>
          <w:b/>
          <w:sz w:val="32"/>
          <w:szCs w:val="32"/>
        </w:rPr>
        <w:t xml:space="preserve">第三章 </w:t>
      </w:r>
      <w:bookmarkStart w:id="42" w:name="_Toc14050_WPSOffice_Level1"/>
      <w:r>
        <w:rPr>
          <w:rFonts w:hint="eastAsia" w:ascii="黑体" w:hAnsi="黑体" w:eastAsia="黑体"/>
          <w:b/>
          <w:sz w:val="32"/>
          <w:szCs w:val="32"/>
          <w:lang w:val="en-US" w:eastAsia="zh-CN"/>
        </w:rPr>
        <w:t xml:space="preserve"> </w:t>
      </w:r>
      <w:r>
        <w:rPr>
          <w:rFonts w:hint="eastAsia" w:ascii="黑体" w:hAnsi="黑体" w:eastAsia="黑体"/>
          <w:b/>
          <w:sz w:val="32"/>
          <w:szCs w:val="32"/>
          <w:lang w:eastAsia="zh-CN"/>
        </w:rPr>
        <w:t>采购</w:t>
      </w:r>
      <w:r>
        <w:rPr>
          <w:rFonts w:hint="eastAsia" w:ascii="黑体" w:hAnsi="黑体" w:eastAsia="黑体"/>
          <w:b/>
          <w:sz w:val="32"/>
          <w:szCs w:val="32"/>
        </w:rPr>
        <w:t>内容及要求</w:t>
      </w:r>
      <w:bookmarkEnd w:id="39"/>
      <w:bookmarkEnd w:id="40"/>
      <w:bookmarkEnd w:id="42"/>
    </w:p>
    <w:p w14:paraId="678F253E">
      <w:pPr>
        <w:keepNext/>
        <w:keepLines/>
        <w:widowControl w:val="0"/>
        <w:bidi w:val="0"/>
        <w:spacing w:beforeLines="0" w:beforeAutospacing="0" w:afterLines="0" w:afterAutospacing="0" w:line="240" w:lineRule="auto"/>
        <w:ind w:firstLine="422" w:firstLineChars="200"/>
        <w:jc w:val="left"/>
        <w:outlineLvl w:val="1"/>
        <w:rPr>
          <w:rFonts w:hint="eastAsia" w:ascii="宋体" w:hAnsi="宋体" w:eastAsia="宋体" w:cs="宋体"/>
          <w:b/>
          <w:kern w:val="2"/>
          <w:sz w:val="21"/>
          <w:szCs w:val="21"/>
          <w:lang w:val="zh-CN" w:eastAsia="zh-CN" w:bidi="ar-SA"/>
        </w:rPr>
      </w:pPr>
      <w:bookmarkStart w:id="43" w:name="_Toc13406"/>
      <w:r>
        <w:rPr>
          <w:rFonts w:hint="eastAsia" w:ascii="宋体" w:hAnsi="宋体" w:eastAsia="宋体" w:cs="宋体"/>
          <w:b/>
          <w:kern w:val="2"/>
          <w:sz w:val="21"/>
          <w:szCs w:val="21"/>
          <w:lang w:val="zh-CN" w:eastAsia="zh-CN" w:bidi="ar-SA"/>
        </w:rPr>
        <w:t>一、</w:t>
      </w:r>
      <w:r>
        <w:rPr>
          <w:rFonts w:hint="eastAsia" w:ascii="宋体" w:hAnsi="宋体" w:eastAsia="宋体" w:cs="宋体"/>
          <w:b/>
          <w:kern w:val="2"/>
          <w:sz w:val="21"/>
          <w:szCs w:val="21"/>
          <w:lang w:val="en-US" w:eastAsia="zh-CN" w:bidi="ar-SA"/>
        </w:rPr>
        <w:t>项目</w:t>
      </w:r>
      <w:r>
        <w:rPr>
          <w:rFonts w:hint="eastAsia" w:ascii="宋体" w:hAnsi="宋体" w:eastAsia="宋体" w:cs="宋体"/>
          <w:b/>
          <w:kern w:val="2"/>
          <w:sz w:val="21"/>
          <w:szCs w:val="21"/>
          <w:lang w:val="zh-CN" w:eastAsia="zh-CN" w:bidi="ar-SA"/>
        </w:rPr>
        <w:t>概况</w:t>
      </w:r>
      <w:bookmarkEnd w:id="43"/>
    </w:p>
    <w:p w14:paraId="0B84A0F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项目名称：竹山县2025年9月至2026年9月工业项目及社会资本投资的房屋建筑工程施工图联合审查（含人防、消防审查及相关的技术服务）遴选第三方服务机构</w:t>
      </w:r>
    </w:p>
    <w:p w14:paraId="511CC6C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2.项目所在地：</w:t>
      </w:r>
      <w:r>
        <w:rPr>
          <w:rFonts w:hint="eastAsia"/>
          <w:lang w:val="en-US" w:eastAsia="zh-CN"/>
        </w:rPr>
        <w:t>竹山县境内</w:t>
      </w:r>
      <w:r>
        <w:rPr>
          <w:rFonts w:hint="eastAsia" w:ascii="宋体" w:hAnsi="宋体" w:eastAsia="宋体" w:cs="宋体"/>
          <w:color w:val="auto"/>
          <w:sz w:val="21"/>
          <w:szCs w:val="21"/>
          <w:highlight w:val="none"/>
          <w:lang w:val="en-US" w:eastAsia="zh-CN"/>
        </w:rPr>
        <w:t>。</w:t>
      </w:r>
    </w:p>
    <w:p w14:paraId="6A168026">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3.采购方式：竞争性磋商</w:t>
      </w:r>
    </w:p>
    <w:p w14:paraId="52578615">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4.最高限价：35万元/年（本次采购金额为估算值，最终结算以实际为准）</w:t>
      </w:r>
    </w:p>
    <w:p w14:paraId="47D99E4A">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项目概况及主要采购内容：结合实际工作需要，本项目拟面向社会择优选定一家图审服务机构，提供竹山县域工业项目及社会资本投资类的房屋建筑工程施工图联合审查（含人防、消防审查及相关的技术服务）。根据建设单位意愿，要求自主选择图审机构并承担图纸审查费用的项目不在此范围内。</w:t>
      </w:r>
    </w:p>
    <w:p w14:paraId="7760925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Calibri" w:hAnsi="Calibri" w:eastAsia="宋体" w:cs="Times New Roman"/>
          <w:b/>
          <w:bCs/>
          <w:sz w:val="24"/>
          <w:szCs w:val="32"/>
          <w:highlight w:val="none"/>
        </w:rPr>
      </w:pPr>
      <w:r>
        <w:rPr>
          <w:rFonts w:hint="eastAsia" w:ascii="宋体" w:hAnsi="宋体" w:eastAsia="宋体" w:cs="宋体"/>
          <w:b/>
          <w:kern w:val="2"/>
          <w:sz w:val="21"/>
          <w:szCs w:val="21"/>
          <w:lang w:val="zh-CN" w:eastAsia="zh-CN" w:bidi="ar-SA"/>
        </w:rPr>
        <w:t>二、执行的标准及规范</w:t>
      </w:r>
      <w:r>
        <w:rPr>
          <w:rFonts w:hint="eastAsia" w:ascii="Calibri" w:hAnsi="Calibri" w:eastAsia="宋体" w:cs="Times New Roman"/>
          <w:b/>
          <w:bCs/>
          <w:sz w:val="24"/>
          <w:szCs w:val="32"/>
          <w:highlight w:val="none"/>
        </w:rPr>
        <w:t xml:space="preserve"> </w:t>
      </w:r>
    </w:p>
    <w:p w14:paraId="5F4131B9">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1、《建设工程质量管理条例》（国务院令第 279 号）； </w:t>
      </w:r>
    </w:p>
    <w:p w14:paraId="777AA15D">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2、《建设工程勘察设计管理条例》（国务院令第 662 号）； </w:t>
      </w:r>
    </w:p>
    <w:p w14:paraId="4CBC44B4">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3、《房屋建筑和市政基础设施工程施工图设计文件审查管理办法》(住建部令第46号）； </w:t>
      </w:r>
    </w:p>
    <w:p w14:paraId="15BC9A25">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4、《关于推进房屋建筑和市政基础设施工程施工图设计文件联合审查的实施意见》(鄂建[2019]2 号文）； </w:t>
      </w:r>
    </w:p>
    <w:p w14:paraId="5814883F">
      <w:pPr>
        <w:bidi w:val="0"/>
        <w:spacing w:line="360" w:lineRule="auto"/>
        <w:ind w:firstLine="420" w:firstLineChars="200"/>
        <w:jc w:val="left"/>
        <w:rPr>
          <w:rFonts w:hint="eastAsia" w:ascii="宋体" w:hAnsi="宋体" w:eastAsia="宋体" w:cs="宋体"/>
          <w:b/>
          <w:kern w:val="2"/>
          <w:sz w:val="21"/>
          <w:szCs w:val="21"/>
          <w:lang w:val="en-US" w:eastAsia="zh-CN" w:bidi="ar-SA"/>
        </w:rPr>
      </w:pPr>
      <w:r>
        <w:rPr>
          <w:rFonts w:hint="eastAsia" w:ascii="宋体" w:hAnsi="宋体" w:eastAsia="宋体" w:cs="宋体"/>
          <w:color w:val="auto"/>
          <w:sz w:val="21"/>
          <w:szCs w:val="21"/>
          <w:highlight w:val="none"/>
          <w:lang w:val="en-US" w:eastAsia="zh-CN"/>
        </w:rPr>
        <w:t>上述各项规定仅是本项目的最基本依据，并未包括实施中所涉及到的所有规定，并且所用规定均应为合同签订之日为止的最新版本。</w:t>
      </w:r>
    </w:p>
    <w:p w14:paraId="60FCD2E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kern w:val="2"/>
          <w:sz w:val="21"/>
          <w:szCs w:val="21"/>
          <w:lang w:val="zh-CN" w:eastAsia="zh-CN" w:bidi="ar-SA"/>
        </w:rPr>
      </w:pPr>
      <w:r>
        <w:rPr>
          <w:rFonts w:hint="eastAsia" w:ascii="宋体" w:hAnsi="宋体" w:eastAsia="宋体" w:cs="宋体"/>
          <w:b/>
          <w:kern w:val="2"/>
          <w:sz w:val="21"/>
          <w:szCs w:val="21"/>
          <w:lang w:val="zh-CN" w:eastAsia="zh-CN" w:bidi="ar-SA"/>
        </w:rPr>
        <w:t xml:space="preserve">三、服务要求 </w:t>
      </w:r>
    </w:p>
    <w:p w14:paraId="72EFB067">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次采购中标人将按照相关规定和技术规范，提供竹山县域工业项目及社会资本投资类的房屋建筑工程施工图联合审查（含人防、消防审查及相关的技术服务），对施工图涉及公共利益、公众安全和工程建设强制性标准的内容进行技术性审查。</w:t>
      </w:r>
    </w:p>
    <w:p w14:paraId="41780C2E">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2、审查服务应满足的技术要求 </w:t>
      </w:r>
    </w:p>
    <w:p w14:paraId="3EB83405">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(1）是否符合土地规划主管部门的批准文件； </w:t>
      </w:r>
    </w:p>
    <w:p w14:paraId="5FF2A60A">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(2）是否符合工程建设强制性标准； </w:t>
      </w:r>
    </w:p>
    <w:p w14:paraId="31C069C4">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(3）地基基础和主体结构是否安全；</w:t>
      </w:r>
    </w:p>
    <w:p w14:paraId="49EFC2C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(4）是否符合民用建筑节能强制性标准，对执行绿色建筑标准的项目，还应当审查是否符合绿色建筑标准；</w:t>
      </w:r>
    </w:p>
    <w:p w14:paraId="51D03A26">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（5）是否符合海绵城市建设的标准和相关规定； </w:t>
      </w:r>
    </w:p>
    <w:p w14:paraId="5AD5C049">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（6）设计深度是否符合国家相关规定；</w:t>
      </w:r>
    </w:p>
    <w:p w14:paraId="71A61D98">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（7）是否满足市、区装配式建筑的要求；</w:t>
      </w:r>
    </w:p>
    <w:p w14:paraId="5EDFA064">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（8）法律、法规、规章规定应当审查的其他内容。</w:t>
      </w:r>
    </w:p>
    <w:p w14:paraId="4CADDA8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kern w:val="2"/>
          <w:sz w:val="21"/>
          <w:szCs w:val="21"/>
          <w:lang w:val="zh-CN" w:eastAsia="zh-CN" w:bidi="ar-SA"/>
        </w:rPr>
      </w:pPr>
      <w:r>
        <w:rPr>
          <w:rFonts w:hint="eastAsia" w:ascii="宋体" w:hAnsi="宋体" w:eastAsia="宋体" w:cs="宋体"/>
          <w:b/>
          <w:kern w:val="2"/>
          <w:sz w:val="21"/>
          <w:szCs w:val="21"/>
          <w:lang w:val="zh-CN" w:eastAsia="zh-CN" w:bidi="ar-SA"/>
        </w:rPr>
        <w:t>3、审查时限</w:t>
      </w:r>
    </w:p>
    <w:p w14:paraId="535D5BF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3.1进度要求★ </w:t>
      </w:r>
    </w:p>
    <w:p w14:paraId="72781DBA">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审查时限：5个工作日。审查时限计算自系统受理项目次日起至出具审查意见书日止，不包括勘察设计单位的施工图修改时间和图审机构的复审时间。根据规定需要组织专家评审的，专家评审时间不计算在审查时限内。 </w:t>
      </w:r>
    </w:p>
    <w:p w14:paraId="7D9C1800">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如果建设单位分阶段提供施工图，则需要分阶段审查，分阶段出具施工图审查意见。</w:t>
      </w:r>
    </w:p>
    <w:p w14:paraId="35D754E8">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（2）审查不合格的，成交供应商应通知建设单位按审查意见书对原送审的文件进行修改，并应于收到齐全、完整的复审资料后按规定完成复审。 </w:t>
      </w:r>
    </w:p>
    <w:p w14:paraId="0A021253">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（3）每个项目审查完成，由成交供应商向建设单位出具施工图审查合格书。 </w:t>
      </w:r>
    </w:p>
    <w:p w14:paraId="3312F85B">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3.2进度跟踪要求 ★</w:t>
      </w:r>
    </w:p>
    <w:p w14:paraId="69EDFDF0">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承诺在未取得建设工程规划许可证之前可先行配合审图、出具施工图审查意见、完成技术沟通，待建设单位取得建设工程规划许可证之后及时发出《施工图审查合格书》和在施工图上加盖审查专用章；</w:t>
      </w:r>
    </w:p>
    <w:p w14:paraId="05380792">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（2）成交供应商应承诺如果建设单位分阶段提供施工图，则需要分阶段审查，分阶段出具施工图审查意见。</w:t>
      </w:r>
    </w:p>
    <w:p w14:paraId="6691C832">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4、服务质量要求 </w:t>
      </w:r>
    </w:p>
    <w:p w14:paraId="376DB52C">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供应商应按照有关法律、法规，对施工图涉及公共利益、公众安全和工程建设强制性标准的内容进行审查。对施工图审查工作负责，承担审查责任。施工图经审查合格后，仍有违反法律、法规、规章和工程建设强制性标准的问题，给建设单位造成损失的，除采购人有权不支付审查费用外，审查机构还应当依法承担相应的赔偿责任。 </w:t>
      </w:r>
    </w:p>
    <w:p w14:paraId="221BA62A">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供应商应按照规定为建设单位提供项目施工图审查服务，在法律、法规规定及《审查服务合同》约定的时限内提交书面意见。审查完成的项目出具相应的《施工图审查合格书》，并在施工图上加盖审查专用章；审查不合格的，供应商应当将施工图退还建设单位，并出具审查意见书，说明不合格原因。建设单位按意见书要求修改，将修改后的施工图提交服务方进行复审。 </w:t>
      </w:r>
    </w:p>
    <w:p w14:paraId="0CFA0220">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（3）建设单位送审代理人全面负责与成交供应商的联系，负责签发和签收与成交供应商有关的往来文件资料，并应当及时处理本工程在审查过程中涉及的有关问题。</w:t>
      </w:r>
    </w:p>
    <w:p w14:paraId="56A9F2D2">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（4）供应商应有健全的组织机构，有完善的内控制度和质量保证体系以及技术经济档案管理制度，有良好的服务态度和较好的社会信誉。应提出保证项目质量和进度的措施。 </w:t>
      </w:r>
    </w:p>
    <w:p w14:paraId="1E7DF0E9">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（5）供应商应具有足够的人力、物力的资源，保证按时按质按量完成采购人委托的业务。供应商明确拟派技术人员及售后服务人员必须熟悉行业管理政策，能充分胜任项目工作。 </w:t>
      </w:r>
    </w:p>
    <w:p w14:paraId="1258B8E7">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（6）成交供应商必须针对本项目制定服务计划，并提供跟踪服务人员名单。 </w:t>
      </w:r>
    </w:p>
    <w:p w14:paraId="76184F92">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（7）成交供应商须独立完成采购人委托的业务，不得将委托任务转让或分包给第三方。</w:t>
      </w:r>
    </w:p>
    <w:p w14:paraId="7B94E72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kern w:val="2"/>
          <w:sz w:val="21"/>
          <w:szCs w:val="21"/>
          <w:lang w:val="zh-CN" w:eastAsia="zh-CN" w:bidi="ar-SA"/>
        </w:rPr>
      </w:pPr>
      <w:r>
        <w:rPr>
          <w:rFonts w:hint="eastAsia" w:ascii="宋体" w:hAnsi="宋体" w:eastAsia="宋体" w:cs="宋体"/>
          <w:b/>
          <w:kern w:val="2"/>
          <w:sz w:val="21"/>
          <w:szCs w:val="21"/>
          <w:lang w:val="zh-CN" w:eastAsia="zh-CN" w:bidi="ar-SA"/>
        </w:rPr>
        <w:t xml:space="preserve">5、服务人员要求 </w:t>
      </w:r>
    </w:p>
    <w:p w14:paraId="06CA95C9">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（1）本项目要求拟派项目组最低投入6人（含项目负责人）。 </w:t>
      </w:r>
    </w:p>
    <w:p w14:paraId="0CA7CE2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（2）人员标准要求：项目技术负责人具有相关专业高级职称。</w:t>
      </w:r>
    </w:p>
    <w:p w14:paraId="44EB369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kern w:val="2"/>
          <w:sz w:val="21"/>
          <w:szCs w:val="21"/>
          <w:lang w:val="zh-CN" w:eastAsia="zh-CN" w:bidi="ar-SA"/>
        </w:rPr>
      </w:pPr>
      <w:r>
        <w:rPr>
          <w:rFonts w:hint="eastAsia" w:ascii="宋体" w:hAnsi="宋体" w:eastAsia="宋体" w:cs="宋体"/>
          <w:b/>
          <w:kern w:val="2"/>
          <w:sz w:val="21"/>
          <w:szCs w:val="21"/>
          <w:lang w:val="zh-CN" w:eastAsia="zh-CN" w:bidi="ar-SA"/>
        </w:rPr>
        <w:t xml:space="preserve">6、建设单位按湖北省数字化审查系统要求上传各专业审查图纸及相关资料。 </w:t>
      </w:r>
    </w:p>
    <w:p w14:paraId="129EA42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Calibri" w:hAnsi="Calibri" w:eastAsia="宋体" w:cs="Times New Roman"/>
          <w:b/>
          <w:bCs/>
          <w:sz w:val="24"/>
          <w:szCs w:val="32"/>
          <w:highlight w:val="none"/>
        </w:rPr>
      </w:pPr>
      <w:r>
        <w:rPr>
          <w:rFonts w:hint="eastAsia" w:ascii="宋体" w:hAnsi="宋体" w:eastAsia="宋体" w:cs="宋体"/>
          <w:b/>
          <w:kern w:val="2"/>
          <w:sz w:val="21"/>
          <w:szCs w:val="21"/>
          <w:lang w:val="zh-CN" w:eastAsia="zh-CN" w:bidi="ar-SA"/>
        </w:rPr>
        <w:t>7、审查合格，中标人应及时提供归档资料。</w:t>
      </w:r>
      <w:r>
        <w:rPr>
          <w:rFonts w:hint="eastAsia" w:ascii="Calibri" w:hAnsi="Calibri" w:eastAsia="宋体" w:cs="Times New Roman"/>
          <w:b/>
          <w:bCs/>
          <w:sz w:val="24"/>
          <w:szCs w:val="32"/>
          <w:highlight w:val="none"/>
        </w:rPr>
        <w:t xml:space="preserve"> </w:t>
      </w:r>
    </w:p>
    <w:p w14:paraId="4962F9F9">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特别说明：（1）上述标注“★”号的条款为实质性指标项，任一项不响应，其竞标按照无效响应处理。 （2）未实质响应采购文件要求的，其竞标按照无效响应处理。供应商不得通过修正或撤销不合要求的偏离从而使其响应文件成为实质上响应的竞标。</w:t>
      </w:r>
    </w:p>
    <w:p w14:paraId="2934251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kern w:val="2"/>
          <w:sz w:val="21"/>
          <w:szCs w:val="21"/>
          <w:lang w:val="zh-CN" w:eastAsia="zh-CN" w:bidi="ar-SA"/>
        </w:rPr>
      </w:pPr>
      <w:r>
        <w:rPr>
          <w:rFonts w:hint="eastAsia" w:ascii="宋体" w:hAnsi="宋体" w:eastAsia="宋体" w:cs="宋体"/>
          <w:b/>
          <w:kern w:val="2"/>
          <w:sz w:val="21"/>
          <w:szCs w:val="21"/>
          <w:lang w:val="zh-CN" w:eastAsia="zh-CN" w:bidi="ar-SA"/>
        </w:rPr>
        <w:t xml:space="preserve">四、商务要求 </w:t>
      </w:r>
    </w:p>
    <w:p w14:paraId="1808FEED">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4.1★服务期：一年</w:t>
      </w:r>
    </w:p>
    <w:p w14:paraId="1FFB39D4">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4.2★服务地点：竹山县</w:t>
      </w:r>
    </w:p>
    <w:p w14:paraId="64D6D2F4">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4.3★报价要求</w:t>
      </w:r>
    </w:p>
    <w:p w14:paraId="55B41FBC">
      <w:pPr>
        <w:bidi w:val="0"/>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4.3.1.最高限价：按《湖北省房屋建筑和市政基础设施工程施工图联合审查计费参考依据（试行）》（湖北省住建[2023]840号）计算的服务费金额的70%计取，供应商的报价不得超过最高限价，否则按无效报价处理；</w:t>
      </w:r>
    </w:p>
    <w:p w14:paraId="1C87422E">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4.3.2投标报价在合同执行过程中是固定不变的，不得以任何理由予以变更。故投标人的投标报价应包含本招标内容全部工作所需的一切费用，对在合同实施过程中可能发生的其它费用，采购人不予支付。</w:t>
      </w:r>
    </w:p>
    <w:p w14:paraId="07B192B9">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本项目采用费率形式报价，按照《湖北省房屋建筑和市政基础设施工程施工图联合审查计费参考依据（试行）》（湖北省住建[2023]840号）计算审查费的标准计费，统一采用折扣率报价。报价不得超过最高限价，否则按无效报价处理。</w:t>
      </w:r>
    </w:p>
    <w:p w14:paraId="69A3CABA">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4.4★成果要求</w:t>
      </w:r>
    </w:p>
    <w:p w14:paraId="3E463DEE">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按照国家、行业相关标准、规范、规定提供相关成果。</w:t>
      </w:r>
    </w:p>
    <w:p w14:paraId="6F5FDCC5">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4.5★禁止行为 </w:t>
      </w:r>
    </w:p>
    <w:p w14:paraId="4F4A2F73">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4.5.1.成交供应商不得收取所审查项目建设单位给付的与审查工作有关的任何财物。 </w:t>
      </w:r>
    </w:p>
    <w:p w14:paraId="701E2B34">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4.5.2.成交供应商不得接受所审查项目建设单位提供的食宿、交通等便利条件。 </w:t>
      </w:r>
    </w:p>
    <w:p w14:paraId="2D544844">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4.5.3.成交供应商不得与所审查项目建设单位相互串通、在审查过程中弄虚作假。</w:t>
      </w:r>
    </w:p>
    <w:p w14:paraId="70765BF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4.6★验收标准</w:t>
      </w:r>
    </w:p>
    <w:p w14:paraId="416AA101">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4.6.1.所有成果文件均须符合国家现行有关规范要求。 </w:t>
      </w:r>
    </w:p>
    <w:p w14:paraId="27B8933C">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4.6.2.提交的编制成果须通过有关部门的审查。 </w:t>
      </w:r>
    </w:p>
    <w:p w14:paraId="5C7FF95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4.6.3.提供所有合格成果，数量需满足采购人实际需求。</w:t>
      </w:r>
    </w:p>
    <w:p w14:paraId="47EA4AA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4.7★付款方式</w:t>
      </w:r>
    </w:p>
    <w:p w14:paraId="1F35B0B3">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合同期内，施工图审查完成后中标人向采购人提交审查服务费的相关资料，采购人审核同意后，中标人开具符合审计要求的增值税普通发票，采购人按要求支付中标人的审查服务费。具体付款方式详见采购合同中约定。</w:t>
      </w:r>
    </w:p>
    <w:p w14:paraId="4E1EAB7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kern w:val="2"/>
          <w:sz w:val="21"/>
          <w:szCs w:val="21"/>
          <w:lang w:val="zh-CN" w:eastAsia="zh-CN" w:bidi="ar-SA"/>
        </w:rPr>
      </w:pPr>
      <w:r>
        <w:rPr>
          <w:rFonts w:hint="eastAsia" w:ascii="宋体" w:hAnsi="宋体" w:eastAsia="宋体" w:cs="宋体"/>
          <w:b/>
          <w:kern w:val="2"/>
          <w:sz w:val="21"/>
          <w:szCs w:val="21"/>
          <w:lang w:val="en-US" w:eastAsia="zh-CN" w:bidi="ar-SA"/>
        </w:rPr>
        <w:t>5、</w:t>
      </w:r>
      <w:r>
        <w:rPr>
          <w:rFonts w:hint="eastAsia" w:ascii="宋体" w:hAnsi="宋体" w:eastAsia="宋体" w:cs="宋体"/>
          <w:b/>
          <w:kern w:val="2"/>
          <w:sz w:val="21"/>
          <w:szCs w:val="21"/>
          <w:lang w:val="zh-CN" w:eastAsia="zh-CN" w:bidi="ar-SA"/>
        </w:rPr>
        <w:t>其他要求</w:t>
      </w:r>
    </w:p>
    <w:p w14:paraId="4EFC1626">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5.1.未尽事项按国家现行相关法律法规、标准、规范（规程）及政策文件要求执行。</w:t>
      </w:r>
    </w:p>
    <w:p w14:paraId="2A134727">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5.2.缺陷责任期为终身责任制。</w:t>
      </w:r>
    </w:p>
    <w:p w14:paraId="0D50E005">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5.1. 投标人在投标文件《商务要求响应、偏离说明表》中未对以上商务要求逐条进行响应描述或偏离说明的，其投标按照无效投标处理。 </w:t>
      </w:r>
    </w:p>
    <w:p w14:paraId="1D9EBEFF">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上表中标注★号的条款应满足或优于，否则按照无效投标处理。</w:t>
      </w:r>
    </w:p>
    <w:p w14:paraId="2B59A04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五、其他需说明的事项</w:t>
      </w:r>
    </w:p>
    <w:p w14:paraId="5EBB7A0C">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5.1、磋商文件中未明确的事项，可在磋商过程及合同中完善，如与国家现行法律法规相冲突，从其规定。</w:t>
      </w:r>
    </w:p>
    <w:p w14:paraId="5F4EEAD0">
      <w:pPr>
        <w:bidi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5.2.采购文件、响应文件是合同不可分割内容，与合同具有同等法律效力。不按合同履约，供应商承担一切经济和法律责任。</w:t>
      </w:r>
    </w:p>
    <w:p w14:paraId="46E5C2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BDBF2DE">
      <w:r>
        <w:rPr>
          <w:rFonts w:hint="eastAsia"/>
        </w:rPr>
        <w:br w:type="page"/>
      </w:r>
    </w:p>
    <w:bookmarkEnd w:id="41"/>
    <w:p w14:paraId="0A8FA6EC">
      <w:pPr>
        <w:pStyle w:val="2"/>
        <w:bidi w:val="0"/>
        <w:rPr>
          <w:lang w:val="en-US" w:eastAsia="zh-CN"/>
        </w:rPr>
      </w:pPr>
      <w:bookmarkStart w:id="44" w:name="_Toc163493631"/>
      <w:bookmarkStart w:id="45" w:name="_Toc297"/>
      <w:r>
        <w:rPr>
          <w:rFonts w:hint="eastAsia"/>
          <w:lang w:val="en-US" w:eastAsia="zh-CN"/>
        </w:rPr>
        <w:t>第四章 评审办法及标准</w:t>
      </w:r>
      <w:bookmarkEnd w:id="44"/>
      <w:bookmarkEnd w:id="45"/>
    </w:p>
    <w:p w14:paraId="311C9C45">
      <w:pPr>
        <w:keepNext/>
        <w:keepLines/>
        <w:pageBreakBefore w:val="0"/>
        <w:widowControl w:val="0"/>
        <w:numPr>
          <w:ilvl w:val="0"/>
          <w:numId w:val="1"/>
        </w:numPr>
        <w:kinsoku/>
        <w:overflowPunct/>
        <w:topLinePunct w:val="0"/>
        <w:autoSpaceDE/>
        <w:autoSpaceDN/>
        <w:bidi w:val="0"/>
        <w:spacing w:before="0" w:after="0" w:line="416" w:lineRule="auto"/>
        <w:ind w:left="420" w:leftChars="0" w:hanging="420"/>
        <w:textAlignment w:val="auto"/>
        <w:outlineLvl w:val="1"/>
        <w:rPr>
          <w:rFonts w:ascii="等线 Light" w:hAnsi="等线 Light" w:eastAsia="宋体" w:cs="Times New Roman"/>
          <w:b/>
          <w:bCs/>
          <w:kern w:val="2"/>
          <w:sz w:val="28"/>
          <w:szCs w:val="28"/>
          <w:lang w:val="en-US" w:eastAsia="zh-CN" w:bidi="ar-SA"/>
        </w:rPr>
      </w:pPr>
      <w:bookmarkStart w:id="46" w:name="_Toc163493632"/>
      <w:bookmarkStart w:id="47" w:name="_Toc18679"/>
      <w:r>
        <w:rPr>
          <w:rFonts w:hint="eastAsia" w:ascii="等线 Light" w:hAnsi="等线 Light" w:eastAsia="宋体" w:cs="Times New Roman"/>
          <w:b/>
          <w:bCs/>
          <w:kern w:val="2"/>
          <w:sz w:val="28"/>
          <w:szCs w:val="28"/>
          <w:lang w:val="en-US" w:eastAsia="zh-CN" w:bidi="ar-SA"/>
        </w:rPr>
        <w:t>评审方法</w:t>
      </w:r>
      <w:bookmarkEnd w:id="46"/>
      <w:bookmarkEnd w:id="47"/>
    </w:p>
    <w:p w14:paraId="57AEB6E2">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本项目采用综合评分法。综合评分法是指经磋商确定最终采购需求和提交最后报价</w:t>
      </w:r>
      <w:r>
        <w:rPr>
          <w:rFonts w:hint="eastAsia" w:ascii="宋体" w:hAnsi="宋体" w:eastAsia="宋体" w:cs="Times New Roman"/>
          <w:b/>
          <w:bCs/>
          <w:kern w:val="2"/>
          <w:sz w:val="22"/>
          <w:szCs w:val="22"/>
          <w:lang w:val="zh-CN" w:eastAsia="zh-CN" w:bidi="ar-SA"/>
        </w:rPr>
        <w:t>（因落实政府采购政策进行价格调整的，以调整后的价格计算）</w:t>
      </w:r>
      <w:r>
        <w:rPr>
          <w:rFonts w:hint="eastAsia" w:ascii="宋体" w:hAnsi="宋体" w:eastAsia="宋体" w:cs="Times New Roman"/>
          <w:kern w:val="2"/>
          <w:sz w:val="22"/>
          <w:szCs w:val="21"/>
          <w:lang w:val="en-US" w:eastAsia="zh-CN" w:bidi="ar-SA"/>
        </w:rPr>
        <w:t>的供应商的响应文件满足磋商文件全部实质性要求且按评审因素的量化指标评审得分最高的供应商为成交候选供应商的评审方法。</w:t>
      </w:r>
    </w:p>
    <w:p w14:paraId="0EF3427B">
      <w:pPr>
        <w:keepNext/>
        <w:keepLines/>
        <w:pageBreakBefore w:val="0"/>
        <w:widowControl w:val="0"/>
        <w:numPr>
          <w:ilvl w:val="0"/>
          <w:numId w:val="1"/>
        </w:numPr>
        <w:kinsoku/>
        <w:overflowPunct/>
        <w:topLinePunct w:val="0"/>
        <w:autoSpaceDE/>
        <w:autoSpaceDN/>
        <w:bidi w:val="0"/>
        <w:spacing w:before="0" w:after="0" w:line="416" w:lineRule="auto"/>
        <w:ind w:left="420" w:leftChars="0" w:hanging="420"/>
        <w:textAlignment w:val="auto"/>
        <w:outlineLvl w:val="1"/>
        <w:rPr>
          <w:rFonts w:ascii="等线 Light" w:hAnsi="等线 Light" w:eastAsia="宋体" w:cs="Times New Roman"/>
          <w:b/>
          <w:bCs/>
          <w:kern w:val="2"/>
          <w:sz w:val="28"/>
          <w:szCs w:val="28"/>
          <w:lang w:val="en-US" w:eastAsia="zh-CN" w:bidi="ar-SA"/>
        </w:rPr>
      </w:pPr>
      <w:bookmarkStart w:id="48" w:name="_Toc163493633"/>
      <w:bookmarkStart w:id="49" w:name="_Toc13850"/>
      <w:r>
        <w:rPr>
          <w:rFonts w:hint="eastAsia" w:ascii="等线 Light" w:hAnsi="等线 Light" w:eastAsia="宋体" w:cs="Times New Roman"/>
          <w:b/>
          <w:bCs/>
          <w:kern w:val="2"/>
          <w:sz w:val="28"/>
          <w:szCs w:val="28"/>
          <w:lang w:val="en-US" w:eastAsia="zh-CN" w:bidi="ar-SA"/>
        </w:rPr>
        <w:t>评审程序</w:t>
      </w:r>
      <w:bookmarkEnd w:id="48"/>
      <w:bookmarkEnd w:id="49"/>
    </w:p>
    <w:p w14:paraId="00D1404A">
      <w:pPr>
        <w:keepNext/>
        <w:keepLines/>
        <w:pageBreakBefore w:val="0"/>
        <w:widowControl w:val="0"/>
        <w:numPr>
          <w:ilvl w:val="0"/>
          <w:numId w:val="2"/>
        </w:numPr>
        <w:kinsoku/>
        <w:overflowPunct/>
        <w:topLinePunct w:val="0"/>
        <w:autoSpaceDE/>
        <w:autoSpaceDN/>
        <w:bidi w:val="0"/>
        <w:spacing w:before="0" w:after="0" w:line="416" w:lineRule="auto"/>
        <w:ind w:left="420" w:leftChars="0" w:hanging="420"/>
        <w:textAlignment w:val="auto"/>
        <w:outlineLvl w:val="2"/>
        <w:rPr>
          <w:rFonts w:ascii="宋体" w:hAnsi="宋体" w:eastAsia="宋体" w:cs="Times New Roman"/>
          <w:b/>
          <w:bCs/>
          <w:kern w:val="2"/>
          <w:sz w:val="28"/>
          <w:szCs w:val="28"/>
          <w:lang w:val="zh-CN" w:eastAsia="zh-CN" w:bidi="ar-SA"/>
        </w:rPr>
      </w:pPr>
      <w:bookmarkStart w:id="50" w:name="_Toc163493634"/>
      <w:r>
        <w:rPr>
          <w:rFonts w:hint="eastAsia" w:ascii="宋体" w:hAnsi="宋体" w:eastAsia="宋体" w:cs="Times New Roman"/>
          <w:b/>
          <w:bCs/>
          <w:kern w:val="2"/>
          <w:sz w:val="28"/>
          <w:szCs w:val="28"/>
          <w:lang w:val="en-US" w:eastAsia="zh-CN" w:bidi="ar-SA"/>
        </w:rPr>
        <w:t>资格性审查和符合性审查</w:t>
      </w:r>
      <w:bookmarkEnd w:id="50"/>
    </w:p>
    <w:p w14:paraId="2FD68F2A">
      <w:pPr>
        <w:pageBreakBefore w:val="0"/>
        <w:widowControl w:val="0"/>
        <w:tabs>
          <w:tab w:val="left" w:pos="312"/>
        </w:tabs>
        <w:kinsoku/>
        <w:wordWrap w:val="0"/>
        <w:overflowPunct/>
        <w:topLinePunct w:val="0"/>
        <w:autoSpaceDE/>
        <w:autoSpaceDN/>
        <w:bidi w:val="0"/>
        <w:adjustRightInd w:val="0"/>
        <w:snapToGrid w:val="0"/>
        <w:spacing w:line="360" w:lineRule="auto"/>
        <w:ind w:left="0" w:leftChars="0" w:firstLine="440" w:firstLineChars="200"/>
        <w:jc w:val="left"/>
        <w:textAlignment w:val="auto"/>
        <w:rPr>
          <w:rFonts w:ascii="宋体" w:hAnsi="宋体" w:eastAsia="宋体" w:cs="Times New Roman"/>
          <w:kern w:val="2"/>
          <w:sz w:val="22"/>
          <w:szCs w:val="21"/>
          <w:lang w:val="en-US" w:eastAsia="zh-CN" w:bidi="ar-SA"/>
        </w:rPr>
      </w:pPr>
      <w:r>
        <w:rPr>
          <w:rFonts w:hint="eastAsia" w:ascii="宋体" w:hAnsi="宋体" w:eastAsia="宋体" w:cs="Times New Roman"/>
          <w:sz w:val="22"/>
          <w:szCs w:val="22"/>
        </w:rPr>
        <w:t>1</w:t>
      </w:r>
      <w:r>
        <w:rPr>
          <w:rFonts w:ascii="宋体" w:hAnsi="宋体" w:eastAsia="宋体" w:cs="Times New Roman"/>
          <w:sz w:val="22"/>
          <w:szCs w:val="22"/>
        </w:rPr>
        <w:t>.</w:t>
      </w:r>
      <w:r>
        <w:rPr>
          <w:rFonts w:hint="eastAsia" w:ascii="宋体" w:hAnsi="宋体" w:eastAsia="宋体" w:cs="Times New Roman"/>
          <w:sz w:val="22"/>
          <w:szCs w:val="22"/>
        </w:rPr>
        <w:t>磋商小组</w:t>
      </w:r>
      <w:r>
        <w:rPr>
          <w:rFonts w:hint="eastAsia" w:ascii="宋体" w:hAnsi="宋体" w:eastAsia="宋体" w:cs="宋体"/>
          <w:sz w:val="22"/>
          <w:szCs w:val="21"/>
        </w:rPr>
        <w:t>根据磋商文件规定的供应商资格条件、评定成交的标准等事项，对供应商的响应文件进行评审。资格性审查和符合性审查不符合磋商文件要求的响应文件，按</w:t>
      </w:r>
      <w:r>
        <w:rPr>
          <w:rFonts w:hint="eastAsia" w:ascii="宋体" w:hAnsi="宋体" w:eastAsia="宋体" w:cs="宋体"/>
          <w:b/>
          <w:bCs/>
          <w:sz w:val="22"/>
          <w:szCs w:val="21"/>
        </w:rPr>
        <w:t>无效文件</w:t>
      </w:r>
      <w:r>
        <w:rPr>
          <w:rFonts w:hint="eastAsia" w:ascii="宋体" w:hAnsi="宋体" w:eastAsia="宋体" w:cs="宋体"/>
          <w:sz w:val="22"/>
          <w:szCs w:val="21"/>
        </w:rPr>
        <w:t>处理，不进入磋商，并告知有关供应商</w:t>
      </w:r>
      <w:r>
        <w:rPr>
          <w:rFonts w:hint="eastAsia" w:ascii="宋体" w:hAnsi="宋体" w:eastAsia="宋体" w:cs="Times New Roman"/>
          <w:sz w:val="22"/>
          <w:szCs w:val="21"/>
          <w:lang w:val="zh-CN"/>
        </w:rPr>
        <w:t>。</w:t>
      </w:r>
    </w:p>
    <w:p w14:paraId="627170FA">
      <w:pPr>
        <w:keepNext/>
        <w:keepLines/>
        <w:pageBreakBefore w:val="0"/>
        <w:widowControl w:val="0"/>
        <w:numPr>
          <w:ilvl w:val="0"/>
          <w:numId w:val="2"/>
        </w:numPr>
        <w:kinsoku/>
        <w:overflowPunct/>
        <w:topLinePunct w:val="0"/>
        <w:autoSpaceDE/>
        <w:autoSpaceDN/>
        <w:bidi w:val="0"/>
        <w:spacing w:before="0" w:after="0" w:line="416" w:lineRule="auto"/>
        <w:ind w:left="420" w:leftChars="0" w:hanging="420"/>
        <w:textAlignment w:val="auto"/>
        <w:outlineLvl w:val="2"/>
        <w:rPr>
          <w:rFonts w:ascii="宋体" w:hAnsi="宋体" w:eastAsia="宋体" w:cs="Times New Roman"/>
          <w:b/>
          <w:bCs/>
          <w:kern w:val="2"/>
          <w:sz w:val="28"/>
          <w:szCs w:val="28"/>
          <w:lang w:val="en-US" w:eastAsia="zh-CN" w:bidi="ar-SA"/>
        </w:rPr>
      </w:pPr>
      <w:bookmarkStart w:id="51" w:name="_Toc163493635"/>
      <w:bookmarkStart w:id="52" w:name="_Hlk158124046"/>
      <w:bookmarkStart w:id="53" w:name="_Toc102057744"/>
      <w:bookmarkStart w:id="54" w:name="_Toc102116048"/>
      <w:bookmarkStart w:id="55" w:name="_Toc102114946"/>
      <w:bookmarkStart w:id="56" w:name="_Toc102056244"/>
      <w:bookmarkStart w:id="57" w:name="_Toc102119879"/>
      <w:bookmarkStart w:id="58" w:name="_Toc102116178"/>
      <w:r>
        <w:rPr>
          <w:rFonts w:hint="eastAsia" w:ascii="宋体" w:hAnsi="宋体" w:eastAsia="宋体" w:cs="Times New Roman"/>
          <w:b/>
          <w:bCs/>
          <w:kern w:val="2"/>
          <w:sz w:val="28"/>
          <w:szCs w:val="28"/>
          <w:lang w:val="en-US" w:eastAsia="zh-CN" w:bidi="ar-SA"/>
        </w:rPr>
        <w:t>响应文件澄清</w:t>
      </w:r>
      <w:bookmarkEnd w:id="51"/>
    </w:p>
    <w:p w14:paraId="623B27FE">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1</w:t>
      </w:r>
      <w:r>
        <w:rPr>
          <w:rFonts w:ascii="宋体" w:hAnsi="宋体" w:eastAsia="宋体" w:cs="Times New Roman"/>
          <w:kern w:val="2"/>
          <w:sz w:val="22"/>
          <w:szCs w:val="21"/>
          <w:lang w:val="en-US" w:eastAsia="zh-CN" w:bidi="ar-SA"/>
        </w:rPr>
        <w:t>.</w:t>
      </w:r>
      <w:r>
        <w:rPr>
          <w:rFonts w:hint="eastAsia" w:ascii="宋体" w:hAnsi="宋体" w:eastAsia="宋体" w:cs="Times New Roman"/>
          <w:kern w:val="2"/>
          <w:sz w:val="22"/>
          <w:szCs w:val="21"/>
          <w:lang w:val="en-US" w:eastAsia="zh-CN" w:bidi="ar-SA"/>
        </w:rPr>
        <w:t>评审期间，</w:t>
      </w:r>
      <w:r>
        <w:rPr>
          <w:rFonts w:ascii="宋体" w:hAnsi="宋体" w:eastAsia="宋体" w:cs="Times New Roman"/>
          <w:kern w:val="2"/>
          <w:sz w:val="22"/>
          <w:szCs w:val="21"/>
          <w:lang w:val="en-US" w:eastAsia="zh-CN" w:bidi="ar-SA"/>
        </w:rPr>
        <w:t>对于</w:t>
      </w:r>
      <w:r>
        <w:rPr>
          <w:rFonts w:hint="eastAsia" w:ascii="宋体" w:hAnsi="宋体" w:eastAsia="宋体" w:cs="Times New Roman"/>
          <w:kern w:val="2"/>
          <w:sz w:val="22"/>
          <w:szCs w:val="21"/>
          <w:lang w:val="en-US" w:eastAsia="zh-CN" w:bidi="ar-SA"/>
        </w:rPr>
        <w:t>响应</w:t>
      </w:r>
      <w:r>
        <w:rPr>
          <w:rFonts w:ascii="宋体" w:hAnsi="宋体" w:eastAsia="宋体" w:cs="Times New Roman"/>
          <w:kern w:val="2"/>
          <w:sz w:val="22"/>
          <w:szCs w:val="21"/>
          <w:lang w:val="en-US" w:eastAsia="zh-CN" w:bidi="ar-SA"/>
        </w:rPr>
        <w:t>文件中含义不明确、同类问题表述不一致或者有明显文字</w:t>
      </w:r>
      <w:r>
        <w:rPr>
          <w:rFonts w:hint="eastAsia" w:ascii="宋体" w:hAnsi="宋体" w:eastAsia="宋体" w:cs="Times New Roman"/>
          <w:kern w:val="2"/>
          <w:sz w:val="22"/>
          <w:szCs w:val="21"/>
          <w:lang w:val="en-US" w:eastAsia="zh-CN" w:bidi="ar-SA"/>
        </w:rPr>
        <w:t>或</w:t>
      </w:r>
      <w:r>
        <w:rPr>
          <w:rFonts w:ascii="宋体" w:hAnsi="宋体" w:eastAsia="宋体" w:cs="Times New Roman"/>
          <w:kern w:val="2"/>
          <w:sz w:val="22"/>
          <w:szCs w:val="21"/>
          <w:lang w:val="en-US" w:eastAsia="zh-CN" w:bidi="ar-SA"/>
        </w:rPr>
        <w:t>计算错误的内容，</w:t>
      </w:r>
      <w:r>
        <w:rPr>
          <w:rFonts w:hint="eastAsia" w:ascii="宋体" w:hAnsi="宋体" w:eastAsia="宋体" w:cs="Times New Roman"/>
          <w:kern w:val="2"/>
          <w:sz w:val="22"/>
          <w:szCs w:val="21"/>
          <w:lang w:val="en-US" w:eastAsia="zh-CN" w:bidi="ar-SA"/>
        </w:rPr>
        <w:t>磋商</w:t>
      </w:r>
      <w:r>
        <w:rPr>
          <w:rFonts w:ascii="宋体" w:hAnsi="宋体" w:eastAsia="宋体" w:cs="Times New Roman"/>
          <w:kern w:val="2"/>
          <w:sz w:val="22"/>
          <w:szCs w:val="21"/>
          <w:lang w:val="en-US" w:eastAsia="zh-CN" w:bidi="ar-SA"/>
        </w:rPr>
        <w:t>小组</w:t>
      </w:r>
      <w:r>
        <w:rPr>
          <w:rFonts w:hint="eastAsia" w:ascii="宋体" w:hAnsi="宋体" w:eastAsia="宋体" w:cs="Times New Roman"/>
          <w:kern w:val="2"/>
          <w:sz w:val="22"/>
          <w:szCs w:val="21"/>
          <w:lang w:val="en-US" w:eastAsia="zh-CN" w:bidi="ar-SA"/>
        </w:rPr>
        <w:t>可以以书面的形式</w:t>
      </w:r>
      <w:r>
        <w:rPr>
          <w:rFonts w:ascii="宋体" w:hAnsi="宋体" w:eastAsia="宋体" w:cs="Times New Roman"/>
          <w:kern w:val="2"/>
          <w:sz w:val="22"/>
          <w:szCs w:val="21"/>
          <w:lang w:val="en-US" w:eastAsia="zh-CN" w:bidi="ar-SA"/>
        </w:rPr>
        <w:t>要求供应商</w:t>
      </w:r>
      <w:r>
        <w:rPr>
          <w:rFonts w:hint="eastAsia" w:ascii="宋体" w:hAnsi="宋体" w:eastAsia="宋体" w:cs="Times New Roman"/>
          <w:kern w:val="2"/>
          <w:sz w:val="22"/>
          <w:szCs w:val="21"/>
          <w:lang w:val="en-US" w:eastAsia="zh-CN" w:bidi="ar-SA"/>
        </w:rPr>
        <w:t>作</w:t>
      </w:r>
      <w:r>
        <w:rPr>
          <w:rFonts w:ascii="宋体" w:hAnsi="宋体" w:eastAsia="宋体" w:cs="Times New Roman"/>
          <w:kern w:val="2"/>
          <w:sz w:val="22"/>
          <w:szCs w:val="21"/>
          <w:lang w:val="en-US" w:eastAsia="zh-CN" w:bidi="ar-SA"/>
        </w:rPr>
        <w:t>出必要的澄清、说明或者补正。</w:t>
      </w:r>
    </w:p>
    <w:p w14:paraId="352D3DB0">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2</w:t>
      </w:r>
      <w:r>
        <w:rPr>
          <w:rFonts w:ascii="宋体" w:hAnsi="宋体" w:eastAsia="宋体" w:cs="Times New Roman"/>
          <w:kern w:val="2"/>
          <w:sz w:val="22"/>
          <w:szCs w:val="21"/>
          <w:lang w:val="en-US" w:eastAsia="zh-CN" w:bidi="ar-SA"/>
        </w:rPr>
        <w:t>.</w:t>
      </w:r>
      <w:r>
        <w:rPr>
          <w:rFonts w:hint="eastAsia" w:ascii="宋体" w:hAnsi="宋体" w:eastAsia="宋体" w:cs="Times New Roman"/>
          <w:kern w:val="2"/>
          <w:sz w:val="22"/>
          <w:szCs w:val="21"/>
          <w:lang w:val="en-US" w:eastAsia="zh-CN" w:bidi="ar-SA"/>
        </w:rPr>
        <w:t>供应商应按照磋商小组要求在规定时间内作出澄清、说明或者补正，</w:t>
      </w:r>
      <w:r>
        <w:rPr>
          <w:rFonts w:ascii="宋体" w:hAnsi="宋体" w:eastAsia="宋体" w:cs="Times New Roman"/>
          <w:kern w:val="2"/>
          <w:sz w:val="22"/>
          <w:szCs w:val="21"/>
          <w:lang w:val="en-US" w:eastAsia="zh-CN" w:bidi="ar-SA"/>
        </w:rPr>
        <w:t>澄清、说明或者补正不得超出</w:t>
      </w:r>
      <w:r>
        <w:rPr>
          <w:rFonts w:hint="eastAsia" w:ascii="宋体" w:hAnsi="宋体" w:eastAsia="宋体" w:cs="Times New Roman"/>
          <w:kern w:val="2"/>
          <w:sz w:val="22"/>
          <w:szCs w:val="21"/>
          <w:lang w:val="en-US" w:eastAsia="zh-CN" w:bidi="ar-SA"/>
        </w:rPr>
        <w:t>响应</w:t>
      </w:r>
      <w:r>
        <w:rPr>
          <w:rFonts w:ascii="宋体" w:hAnsi="宋体" w:eastAsia="宋体" w:cs="Times New Roman"/>
          <w:kern w:val="2"/>
          <w:sz w:val="22"/>
          <w:szCs w:val="21"/>
          <w:lang w:val="en-US" w:eastAsia="zh-CN" w:bidi="ar-SA"/>
        </w:rPr>
        <w:t>文件的范围或者改变</w:t>
      </w:r>
      <w:r>
        <w:rPr>
          <w:rFonts w:hint="eastAsia" w:ascii="宋体" w:hAnsi="宋体" w:eastAsia="宋体" w:cs="Times New Roman"/>
          <w:kern w:val="2"/>
          <w:sz w:val="22"/>
          <w:szCs w:val="21"/>
          <w:lang w:val="en-US" w:eastAsia="zh-CN" w:bidi="ar-SA"/>
        </w:rPr>
        <w:t>响应</w:t>
      </w:r>
      <w:r>
        <w:rPr>
          <w:rFonts w:ascii="宋体" w:hAnsi="宋体" w:eastAsia="宋体" w:cs="Times New Roman"/>
          <w:kern w:val="2"/>
          <w:sz w:val="22"/>
          <w:szCs w:val="21"/>
          <w:lang w:val="en-US" w:eastAsia="zh-CN" w:bidi="ar-SA"/>
        </w:rPr>
        <w:t>文件的实质性内容。</w:t>
      </w:r>
    </w:p>
    <w:p w14:paraId="7F787E56">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3</w:t>
      </w:r>
      <w:r>
        <w:rPr>
          <w:rFonts w:ascii="宋体" w:hAnsi="宋体" w:eastAsia="宋体" w:cs="Times New Roman"/>
          <w:kern w:val="2"/>
          <w:sz w:val="22"/>
          <w:szCs w:val="21"/>
          <w:lang w:val="en-US" w:eastAsia="zh-CN" w:bidi="ar-SA"/>
        </w:rPr>
        <w:t>.</w:t>
      </w:r>
      <w:r>
        <w:rPr>
          <w:rFonts w:hint="eastAsia" w:ascii="宋体" w:hAnsi="宋体" w:eastAsia="宋体" w:cs="Times New Roman"/>
          <w:kern w:val="2"/>
          <w:sz w:val="22"/>
          <w:szCs w:val="21"/>
          <w:lang w:val="en-US" w:eastAsia="zh-CN" w:bidi="ar-SA"/>
        </w:rPr>
        <w:t>供应商的</w:t>
      </w:r>
      <w:r>
        <w:rPr>
          <w:rFonts w:ascii="宋体" w:hAnsi="宋体" w:eastAsia="宋体" w:cs="Times New Roman"/>
          <w:kern w:val="2"/>
          <w:sz w:val="22"/>
          <w:szCs w:val="21"/>
          <w:lang w:val="en-US" w:eastAsia="zh-CN" w:bidi="ar-SA"/>
        </w:rPr>
        <w:t>澄清、说明或者补正</w:t>
      </w:r>
      <w:r>
        <w:rPr>
          <w:rFonts w:hint="eastAsia" w:ascii="宋体" w:hAnsi="宋体" w:eastAsia="宋体" w:cs="Times New Roman"/>
          <w:kern w:val="2"/>
          <w:sz w:val="22"/>
          <w:szCs w:val="21"/>
          <w:lang w:val="en-US" w:eastAsia="zh-CN" w:bidi="ar-SA"/>
        </w:rPr>
        <w:t>是其响应文件的有效组成部分，</w:t>
      </w:r>
      <w:r>
        <w:rPr>
          <w:rFonts w:ascii="宋体" w:hAnsi="宋体" w:eastAsia="宋体" w:cs="Times New Roman"/>
          <w:kern w:val="2"/>
          <w:sz w:val="22"/>
          <w:szCs w:val="21"/>
          <w:lang w:val="en-US" w:eastAsia="zh-CN" w:bidi="ar-SA"/>
        </w:rPr>
        <w:t>澄清、说明或者补正</w:t>
      </w:r>
      <w:r>
        <w:rPr>
          <w:rFonts w:hint="eastAsia" w:ascii="宋体" w:hAnsi="宋体" w:eastAsia="宋体" w:cs="Times New Roman"/>
          <w:kern w:val="2"/>
          <w:sz w:val="22"/>
          <w:szCs w:val="21"/>
          <w:lang w:val="en-US" w:eastAsia="zh-CN" w:bidi="ar-SA"/>
        </w:rPr>
        <w:t>应当以书面的方式加盖电子印章后提交。</w:t>
      </w:r>
    </w:p>
    <w:bookmarkEnd w:id="52"/>
    <w:p w14:paraId="12360A08">
      <w:pPr>
        <w:keepNext/>
        <w:keepLines/>
        <w:pageBreakBefore w:val="0"/>
        <w:widowControl w:val="0"/>
        <w:numPr>
          <w:ilvl w:val="0"/>
          <w:numId w:val="2"/>
        </w:numPr>
        <w:kinsoku/>
        <w:overflowPunct/>
        <w:topLinePunct w:val="0"/>
        <w:autoSpaceDE/>
        <w:autoSpaceDN/>
        <w:bidi w:val="0"/>
        <w:spacing w:before="0" w:after="0" w:line="416" w:lineRule="auto"/>
        <w:ind w:left="420" w:leftChars="0" w:hanging="420"/>
        <w:textAlignment w:val="auto"/>
        <w:outlineLvl w:val="2"/>
        <w:rPr>
          <w:rFonts w:ascii="宋体" w:hAnsi="宋体" w:eastAsia="宋体" w:cs="Times New Roman"/>
          <w:b/>
          <w:bCs/>
          <w:kern w:val="2"/>
          <w:sz w:val="28"/>
          <w:szCs w:val="28"/>
          <w:lang w:val="en-US" w:eastAsia="zh-CN" w:bidi="ar-SA"/>
        </w:rPr>
      </w:pPr>
      <w:bookmarkStart w:id="59" w:name="_Toc163493636"/>
      <w:r>
        <w:rPr>
          <w:rFonts w:hint="eastAsia" w:ascii="宋体" w:hAnsi="宋体" w:eastAsia="宋体" w:cs="Times New Roman"/>
          <w:b/>
          <w:bCs/>
          <w:kern w:val="2"/>
          <w:sz w:val="28"/>
          <w:szCs w:val="28"/>
          <w:lang w:val="en-US" w:eastAsia="zh-CN" w:bidi="ar-SA"/>
        </w:rPr>
        <w:t>磋商程序</w:t>
      </w:r>
      <w:bookmarkEnd w:id="59"/>
    </w:p>
    <w:p w14:paraId="5DD892B9">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磋商小组应当依据磋商文件规定的程序、评定成交的标准等事项与</w:t>
      </w:r>
      <w:r>
        <w:rPr>
          <w:rFonts w:hint="eastAsia" w:ascii="宋体" w:hAnsi="宋体" w:eastAsia="宋体" w:cs="Helvetica"/>
          <w:kern w:val="2"/>
          <w:sz w:val="22"/>
          <w:szCs w:val="22"/>
          <w:lang w:val="zh-CN" w:eastAsia="zh-CN" w:bidi="ar-SA"/>
        </w:rPr>
        <w:t>实质性</w:t>
      </w:r>
      <w:r>
        <w:rPr>
          <w:rFonts w:hint="eastAsia" w:ascii="宋体" w:hAnsi="宋体" w:eastAsia="宋体" w:cs="Times New Roman"/>
          <w:kern w:val="2"/>
          <w:sz w:val="22"/>
          <w:szCs w:val="21"/>
          <w:lang w:val="en-US" w:eastAsia="zh-CN" w:bidi="ar-SA"/>
        </w:rPr>
        <w:t>响应磋商文件要求的供应商</w:t>
      </w:r>
      <w:r>
        <w:rPr>
          <w:rFonts w:ascii="宋体" w:hAnsi="宋体" w:eastAsia="宋体" w:cs="Times New Roman"/>
          <w:kern w:val="2"/>
          <w:sz w:val="22"/>
          <w:szCs w:val="21"/>
          <w:lang w:val="en-US" w:eastAsia="zh-CN" w:bidi="ar-SA"/>
        </w:rPr>
        <w:t>进行</w:t>
      </w:r>
      <w:r>
        <w:rPr>
          <w:rFonts w:hint="eastAsia" w:ascii="宋体" w:hAnsi="宋体" w:eastAsia="宋体" w:cs="Times New Roman"/>
          <w:kern w:val="2"/>
          <w:sz w:val="22"/>
          <w:szCs w:val="21"/>
          <w:lang w:val="en-US" w:eastAsia="zh-CN" w:bidi="ar-SA"/>
        </w:rPr>
        <w:t>磋商。</w:t>
      </w:r>
    </w:p>
    <w:p w14:paraId="2FAED218">
      <w:pPr>
        <w:keepNext/>
        <w:keepLines/>
        <w:pageBreakBefore w:val="0"/>
        <w:widowControl w:val="0"/>
        <w:numPr>
          <w:ilvl w:val="0"/>
          <w:numId w:val="3"/>
        </w:numPr>
        <w:kinsoku/>
        <w:overflowPunct/>
        <w:topLinePunct w:val="0"/>
        <w:autoSpaceDE/>
        <w:autoSpaceDN/>
        <w:bidi w:val="0"/>
        <w:spacing w:before="0" w:after="0" w:line="376" w:lineRule="auto"/>
        <w:ind w:left="425" w:leftChars="0" w:hanging="425" w:firstLineChars="0"/>
        <w:textAlignment w:val="auto"/>
        <w:outlineLvl w:val="3"/>
        <w:rPr>
          <w:rFonts w:ascii="等线 Light" w:hAnsi="等线 Light" w:eastAsia="宋体" w:cs="Times New Roman"/>
          <w:b/>
          <w:bCs/>
          <w:kern w:val="2"/>
          <w:sz w:val="24"/>
          <w:szCs w:val="24"/>
          <w:lang w:val="en-US" w:eastAsia="zh-CN" w:bidi="ar-SA"/>
        </w:rPr>
      </w:pPr>
      <w:r>
        <w:rPr>
          <w:rFonts w:hint="eastAsia" w:ascii="等线 Light" w:hAnsi="等线 Light" w:eastAsia="宋体" w:cs="Times New Roman"/>
          <w:b/>
          <w:bCs/>
          <w:kern w:val="2"/>
          <w:sz w:val="24"/>
          <w:szCs w:val="24"/>
          <w:lang w:val="en-US" w:eastAsia="zh-CN" w:bidi="ar-SA"/>
        </w:rPr>
        <w:t>第</w:t>
      </w:r>
      <w:r>
        <w:rPr>
          <w:rFonts w:ascii="等线 Light" w:hAnsi="等线 Light" w:eastAsia="宋体" w:cs="Times New Roman"/>
          <w:b/>
          <w:bCs/>
          <w:kern w:val="2"/>
          <w:sz w:val="24"/>
          <w:szCs w:val="24"/>
          <w:lang w:val="en-US" w:eastAsia="zh-CN" w:bidi="ar-SA"/>
        </w:rPr>
        <w:t>一轮</w:t>
      </w:r>
      <w:r>
        <w:rPr>
          <w:rFonts w:hint="eastAsia" w:ascii="等线 Light" w:hAnsi="等线 Light" w:eastAsia="宋体" w:cs="Times New Roman"/>
          <w:b/>
          <w:bCs/>
          <w:kern w:val="2"/>
          <w:sz w:val="24"/>
          <w:szCs w:val="24"/>
          <w:lang w:val="en-US" w:eastAsia="zh-CN" w:bidi="ar-SA"/>
        </w:rPr>
        <w:t>磋商</w:t>
      </w:r>
    </w:p>
    <w:p w14:paraId="07462C69">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宋体"/>
          <w:kern w:val="2"/>
          <w:sz w:val="22"/>
          <w:szCs w:val="22"/>
          <w:lang w:val="en-US" w:eastAsia="zh-CN" w:bidi="ar-SA"/>
        </w:rPr>
      </w:pPr>
      <w:r>
        <w:rPr>
          <w:rFonts w:hint="eastAsia" w:ascii="宋体" w:hAnsi="宋体" w:eastAsia="宋体" w:cs="Times New Roman"/>
          <w:kern w:val="2"/>
          <w:sz w:val="22"/>
          <w:szCs w:val="21"/>
          <w:lang w:val="zh-CN" w:eastAsia="zh-CN" w:bidi="ar-SA"/>
        </w:rPr>
        <w:t>1</w:t>
      </w:r>
      <w:r>
        <w:rPr>
          <w:rFonts w:ascii="宋体" w:hAnsi="宋体" w:eastAsia="宋体" w:cs="Times New Roman"/>
          <w:kern w:val="2"/>
          <w:sz w:val="22"/>
          <w:szCs w:val="21"/>
          <w:lang w:val="zh-CN" w:eastAsia="zh-CN" w:bidi="ar-SA"/>
        </w:rPr>
        <w:t>.1</w:t>
      </w:r>
      <w:r>
        <w:rPr>
          <w:rFonts w:hint="eastAsia" w:ascii="宋体" w:hAnsi="宋体" w:eastAsia="宋体" w:cs="Times New Roman"/>
          <w:kern w:val="2"/>
          <w:sz w:val="22"/>
          <w:szCs w:val="21"/>
          <w:lang w:val="zh-CN" w:eastAsia="zh-CN" w:bidi="ar-SA"/>
        </w:rPr>
        <w:t>磋商小组将按照系统随机的顺序决定供应商的磋商顺序，并与单一供应商分别进行磋商</w:t>
      </w:r>
      <w:r>
        <w:rPr>
          <w:rFonts w:hint="eastAsia" w:ascii="宋体" w:hAnsi="宋体" w:eastAsia="宋体" w:cs="宋体"/>
          <w:kern w:val="2"/>
          <w:sz w:val="22"/>
          <w:szCs w:val="22"/>
          <w:lang w:val="en-US" w:eastAsia="zh-CN" w:bidi="ar-SA"/>
        </w:rPr>
        <w:t>。</w:t>
      </w:r>
    </w:p>
    <w:p w14:paraId="080D0738">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r>
        <w:rPr>
          <w:rFonts w:ascii="宋体" w:hAnsi="宋体" w:eastAsia="宋体" w:cs="宋体"/>
          <w:kern w:val="2"/>
          <w:sz w:val="22"/>
          <w:szCs w:val="22"/>
          <w:lang w:val="en-US" w:eastAsia="zh-CN" w:bidi="ar-SA"/>
        </w:rPr>
        <w:t>.2</w:t>
      </w:r>
      <w:r>
        <w:rPr>
          <w:rFonts w:hint="eastAsia" w:ascii="宋体" w:hAnsi="宋体" w:eastAsia="宋体" w:cs="宋体"/>
          <w:kern w:val="2"/>
          <w:sz w:val="22"/>
          <w:szCs w:val="22"/>
          <w:lang w:val="en-US" w:eastAsia="zh-CN" w:bidi="ar-SA"/>
        </w:rPr>
        <w:t>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5C3F0EAD">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r>
        <w:rPr>
          <w:rFonts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zh-CN" w:bidi="ar-SA"/>
        </w:rPr>
        <w:t>磋商的过程中，磋商小组可以根据磋商文件和磋商情况实质性变动采购需求中的技术要求和</w:t>
      </w:r>
      <w:r>
        <w:rPr>
          <w:rFonts w:ascii="宋体" w:hAnsi="宋体" w:eastAsia="宋体" w:cs="宋体"/>
          <w:kern w:val="2"/>
          <w:sz w:val="22"/>
          <w:szCs w:val="22"/>
          <w:lang w:val="en-US" w:eastAsia="zh-CN" w:bidi="ar-SA"/>
        </w:rPr>
        <w:t>商务要求</w:t>
      </w:r>
      <w:r>
        <w:rPr>
          <w:rFonts w:hint="eastAsia" w:ascii="宋体" w:hAnsi="宋体" w:eastAsia="宋体" w:cs="宋体"/>
          <w:kern w:val="2"/>
          <w:sz w:val="22"/>
          <w:szCs w:val="22"/>
          <w:lang w:val="en-US" w:eastAsia="zh-CN" w:bidi="ar-SA"/>
        </w:rPr>
        <w:t>，但不得变动磋商文件中的其他内容。实质性变动的内容，须经采购人代表确认。</w:t>
      </w:r>
    </w:p>
    <w:p w14:paraId="773E324A">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r>
        <w:rPr>
          <w:rFonts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zh-CN" w:bidi="ar-SA"/>
        </w:rPr>
        <w:t>对磋商文件作出的实质性变动的内容是磋商文件的有效组成部分。磋商小组应将磋商文件的变动情况以书面的方式通知所有参加磋商的供应商。</w:t>
      </w:r>
    </w:p>
    <w:p w14:paraId="15C94FA4">
      <w:pPr>
        <w:pageBreakBefore w:val="0"/>
        <w:widowControl w:val="0"/>
        <w:kinsoku/>
        <w:wordWrap w:val="0"/>
        <w:overflowPunct/>
        <w:topLinePunct w:val="0"/>
        <w:autoSpaceDE/>
        <w:autoSpaceDN/>
        <w:bidi w:val="0"/>
        <w:spacing w:line="360" w:lineRule="auto"/>
        <w:ind w:left="0" w:leftChars="0"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r>
        <w:rPr>
          <w:rFonts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zh-CN" w:bidi="ar-SA"/>
        </w:rPr>
        <w:t>供应商应当根据磋商文件的变动情况和磋商小组的要求，在规定的时间内对原响应文件内容进行修正，并将修正文件以</w:t>
      </w:r>
      <w:r>
        <w:rPr>
          <w:rFonts w:ascii="宋体" w:hAnsi="宋体" w:eastAsia="宋体" w:cs="宋体"/>
          <w:kern w:val="2"/>
          <w:sz w:val="22"/>
          <w:szCs w:val="22"/>
          <w:lang w:val="en-US" w:eastAsia="zh-CN" w:bidi="ar-SA"/>
        </w:rPr>
        <w:t>书面的方式</w:t>
      </w:r>
      <w:r>
        <w:rPr>
          <w:rFonts w:hint="eastAsia" w:ascii="宋体" w:hAnsi="宋体" w:eastAsia="宋体" w:cs="宋体"/>
          <w:kern w:val="2"/>
          <w:sz w:val="22"/>
          <w:szCs w:val="22"/>
          <w:lang w:val="en-US" w:eastAsia="zh-CN" w:bidi="ar-SA"/>
        </w:rPr>
        <w:t>经授权代表签字（或加盖公章）后提交磋商小组。逾时不提交的，视同退出磋商。</w:t>
      </w:r>
    </w:p>
    <w:p w14:paraId="2DC46F0B">
      <w:pPr>
        <w:pageBreakBefore w:val="0"/>
        <w:widowControl w:val="0"/>
        <w:kinsoku/>
        <w:wordWrap w:val="0"/>
        <w:overflowPunct/>
        <w:topLinePunct w:val="0"/>
        <w:autoSpaceDE/>
        <w:autoSpaceDN/>
        <w:bidi w:val="0"/>
        <w:spacing w:line="360" w:lineRule="auto"/>
        <w:ind w:left="0" w:leftChars="0" w:firstLine="440" w:firstLineChars="200"/>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1.6修正文件与响应文件具有同等法律效力。</w:t>
      </w:r>
    </w:p>
    <w:p w14:paraId="5941EB6F">
      <w:pPr>
        <w:pageBreakBefore w:val="0"/>
        <w:widowControl w:val="0"/>
        <w:kinsoku/>
        <w:wordWrap w:val="0"/>
        <w:overflowPunct/>
        <w:topLinePunct w:val="0"/>
        <w:autoSpaceDE/>
        <w:autoSpaceDN/>
        <w:bidi w:val="0"/>
        <w:spacing w:line="360" w:lineRule="auto"/>
        <w:ind w:firstLine="482" w:firstLineChars="200"/>
        <w:textAlignment w:val="auto"/>
        <w:rPr>
          <w:rFonts w:ascii="等线 Light" w:hAnsi="等线 Light" w:eastAsia="宋体" w:cs="Times New Roman"/>
          <w:b/>
          <w:bCs/>
          <w:kern w:val="2"/>
          <w:sz w:val="24"/>
          <w:szCs w:val="24"/>
          <w:lang w:val="en-US" w:eastAsia="zh-CN" w:bidi="ar-SA"/>
        </w:rPr>
      </w:pPr>
      <w:r>
        <w:rPr>
          <w:rFonts w:hint="eastAsia" w:ascii="等线 Light" w:hAnsi="等线 Light" w:eastAsia="宋体" w:cs="Times New Roman"/>
          <w:b/>
          <w:bCs/>
          <w:kern w:val="2"/>
          <w:sz w:val="24"/>
          <w:szCs w:val="24"/>
          <w:lang w:val="en-US" w:eastAsia="zh-CN" w:bidi="ar-SA"/>
        </w:rPr>
        <w:t>2.多轮磋商</w:t>
      </w:r>
    </w:p>
    <w:p w14:paraId="2EF9EBD9">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ascii="宋体" w:hAnsi="宋体" w:eastAsia="宋体" w:cs="Times New Roman"/>
          <w:kern w:val="2"/>
          <w:sz w:val="22"/>
          <w:szCs w:val="21"/>
          <w:lang w:val="en-US" w:eastAsia="zh-CN" w:bidi="ar-SA"/>
        </w:rPr>
        <w:t>2.1</w:t>
      </w:r>
      <w:r>
        <w:rPr>
          <w:rFonts w:hint="eastAsia" w:ascii="宋体" w:hAnsi="宋体" w:eastAsia="宋体" w:cs="Times New Roman"/>
          <w:kern w:val="2"/>
          <w:sz w:val="22"/>
          <w:szCs w:val="21"/>
          <w:lang w:val="en-US" w:eastAsia="zh-CN" w:bidi="ar-SA"/>
        </w:rPr>
        <w:t>磋商文件中不能详细列明采购标的的技术、服务要求，需经过磋商由供应商提供最终设计方案或解决方案的项目，磋商小组可以根据采购人对采购需求的确认情况，进行多轮磋商，直到采购人代表最终确认采购需求为止。</w:t>
      </w:r>
    </w:p>
    <w:p w14:paraId="2E616740">
      <w:pPr>
        <w:pageBreakBefore w:val="0"/>
        <w:widowControl w:val="0"/>
        <w:kinsoku/>
        <w:wordWrap w:val="0"/>
        <w:overflowPunct/>
        <w:topLinePunct w:val="0"/>
        <w:autoSpaceDE/>
        <w:autoSpaceDN/>
        <w:bidi w:val="0"/>
        <w:spacing w:line="360" w:lineRule="auto"/>
        <w:ind w:left="0" w:leftChars="0" w:firstLine="440" w:firstLineChars="200"/>
        <w:textAlignment w:val="auto"/>
        <w:rPr>
          <w:rFonts w:hint="eastAsia"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2</w:t>
      </w:r>
      <w:r>
        <w:rPr>
          <w:rFonts w:ascii="宋体" w:hAnsi="宋体" w:eastAsia="宋体" w:cs="Times New Roman"/>
          <w:kern w:val="2"/>
          <w:sz w:val="22"/>
          <w:szCs w:val="21"/>
          <w:lang w:val="en-US" w:eastAsia="zh-CN" w:bidi="ar-SA"/>
        </w:rPr>
        <w:t>.3</w:t>
      </w:r>
      <w:r>
        <w:rPr>
          <w:rFonts w:hint="eastAsia" w:ascii="宋体" w:hAnsi="宋体" w:eastAsia="宋体" w:cs="Times New Roman"/>
          <w:kern w:val="2"/>
          <w:sz w:val="22"/>
          <w:szCs w:val="21"/>
          <w:lang w:val="en-US" w:eastAsia="zh-CN" w:bidi="ar-SA"/>
        </w:rPr>
        <w:t>磋商程序同第一轮磋商。</w:t>
      </w:r>
    </w:p>
    <w:p w14:paraId="04535FFC">
      <w:pPr>
        <w:keepNext/>
        <w:keepLines/>
        <w:pageBreakBefore w:val="0"/>
        <w:widowControl w:val="0"/>
        <w:kinsoku/>
        <w:overflowPunct/>
        <w:topLinePunct w:val="0"/>
        <w:autoSpaceDE/>
        <w:autoSpaceDN/>
        <w:bidi w:val="0"/>
        <w:adjustRightInd/>
        <w:snapToGrid/>
        <w:spacing w:before="0" w:after="0" w:line="416" w:lineRule="auto"/>
        <w:ind w:firstLine="562" w:firstLineChars="200"/>
        <w:textAlignment w:val="auto"/>
        <w:outlineLvl w:val="1"/>
        <w:rPr>
          <w:rFonts w:ascii="等线 Light" w:hAnsi="等线 Light" w:eastAsia="宋体" w:cs="Times New Roman"/>
          <w:b/>
          <w:bCs/>
          <w:kern w:val="2"/>
          <w:sz w:val="28"/>
          <w:szCs w:val="28"/>
          <w:lang w:val="en-US" w:eastAsia="zh-CN" w:bidi="ar-SA"/>
        </w:rPr>
      </w:pPr>
      <w:bookmarkStart w:id="60" w:name="_Toc28150"/>
      <w:r>
        <w:rPr>
          <w:rFonts w:hint="eastAsia" w:ascii="等线 Light" w:hAnsi="等线 Light" w:eastAsia="宋体" w:cs="Times New Roman"/>
          <w:b/>
          <w:bCs/>
          <w:kern w:val="2"/>
          <w:sz w:val="28"/>
          <w:szCs w:val="28"/>
          <w:lang w:val="en-US" w:eastAsia="zh-CN" w:bidi="ar-SA"/>
        </w:rPr>
        <w:t>3.最后报价</w:t>
      </w:r>
      <w:bookmarkEnd w:id="60"/>
    </w:p>
    <w:p w14:paraId="32792A39">
      <w:pPr>
        <w:pageBreakBefore w:val="0"/>
        <w:widowControl w:val="0"/>
        <w:kinsoku/>
        <w:wordWrap w:val="0"/>
        <w:overflowPunct/>
        <w:topLinePunct w:val="0"/>
        <w:autoSpaceDE/>
        <w:autoSpaceDN/>
        <w:bidi w:val="0"/>
        <w:adjustRightInd/>
        <w:snapToGrid/>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3</w:t>
      </w:r>
      <w:r>
        <w:rPr>
          <w:rFonts w:ascii="宋体" w:hAnsi="宋体" w:eastAsia="宋体" w:cs="Times New Roman"/>
          <w:kern w:val="2"/>
          <w:sz w:val="22"/>
          <w:szCs w:val="21"/>
          <w:lang w:val="en-US" w:eastAsia="zh-CN" w:bidi="ar-SA"/>
        </w:rPr>
        <w:t>.1</w:t>
      </w:r>
      <w:r>
        <w:rPr>
          <w:rFonts w:hint="eastAsia" w:ascii="宋体" w:hAnsi="宋体" w:eastAsia="宋体" w:cs="Times New Roman"/>
          <w:kern w:val="2"/>
          <w:sz w:val="22"/>
          <w:szCs w:val="21"/>
          <w:lang w:val="en-US" w:eastAsia="zh-CN" w:bidi="ar-SA"/>
        </w:rPr>
        <w:t>磋商文件中能够详细列明采购标的的技术、服务要求的，磋商结束后，磋商小组应当要求所有继续参加磋商的供应商，在规定时间内，以书面的方式经授权代表签字（或加盖公章）后提交最后报价，提交最后报价的供应商不得少于3家</w:t>
      </w:r>
      <w:r>
        <w:rPr>
          <w:rFonts w:hint="eastAsia" w:ascii="宋体" w:hAnsi="宋体" w:eastAsia="宋体" w:cs="Times New Roman"/>
          <w:kern w:val="2"/>
          <w:sz w:val="22"/>
          <w:szCs w:val="22"/>
          <w:lang w:val="zh-CN" w:eastAsia="zh-CN" w:bidi="ar-SA"/>
        </w:rPr>
        <w:t>（</w:t>
      </w:r>
      <w:r>
        <w:rPr>
          <w:rFonts w:hint="eastAsia" w:ascii="宋体" w:hAnsi="宋体" w:eastAsia="宋体" w:cs="Times New Roman"/>
          <w:kern w:val="2"/>
          <w:sz w:val="22"/>
          <w:szCs w:val="21"/>
          <w:lang w:val="en-US" w:eastAsia="zh-CN" w:bidi="ar-SA"/>
        </w:rPr>
        <w:t>市场竞争不充分的科研项目，以及需要扶持的科技成果转化项目可以为</w:t>
      </w:r>
      <w:r>
        <w:rPr>
          <w:rFonts w:ascii="宋体" w:hAnsi="宋体" w:eastAsia="宋体" w:cs="Times New Roman"/>
          <w:kern w:val="2"/>
          <w:sz w:val="22"/>
          <w:szCs w:val="21"/>
          <w:lang w:val="en-US" w:eastAsia="zh-CN" w:bidi="ar-SA"/>
        </w:rPr>
        <w:t>2家</w:t>
      </w:r>
      <w:r>
        <w:rPr>
          <w:rFonts w:hint="eastAsia" w:ascii="宋体" w:hAnsi="宋体" w:eastAsia="宋体" w:cs="Times New Roman"/>
          <w:kern w:val="2"/>
          <w:sz w:val="22"/>
          <w:szCs w:val="21"/>
          <w:lang w:val="en-US" w:eastAsia="zh-CN" w:bidi="ar-SA"/>
        </w:rPr>
        <w:t>，</w:t>
      </w:r>
      <w:r>
        <w:rPr>
          <w:rFonts w:hint="eastAsia" w:ascii="宋体" w:hAnsi="宋体" w:eastAsia="宋体" w:cs="Times New Roman"/>
          <w:snapToGrid w:val="0"/>
          <w:kern w:val="2"/>
          <w:sz w:val="22"/>
          <w:szCs w:val="21"/>
          <w:lang w:val="en-US" w:eastAsia="zh-CN" w:bidi="ar-SA"/>
        </w:rPr>
        <w:t>政府购买服务项目[含政府和社会资本合作项目]，在采购过程中符合要求的供应商[社会资本]只有2家的</w:t>
      </w:r>
      <w:r>
        <w:rPr>
          <w:rFonts w:hint="eastAsia" w:ascii="宋体" w:hAnsi="宋体" w:eastAsia="宋体" w:cs="Times New Roman"/>
          <w:kern w:val="2"/>
          <w:sz w:val="22"/>
          <w:szCs w:val="21"/>
          <w:lang w:val="en-US" w:eastAsia="zh-CN" w:bidi="ar-SA"/>
        </w:rPr>
        <w:t>可以为</w:t>
      </w:r>
      <w:r>
        <w:rPr>
          <w:rFonts w:ascii="宋体" w:hAnsi="宋体" w:eastAsia="宋体" w:cs="Times New Roman"/>
          <w:kern w:val="2"/>
          <w:sz w:val="22"/>
          <w:szCs w:val="21"/>
          <w:lang w:val="en-US" w:eastAsia="zh-CN" w:bidi="ar-SA"/>
        </w:rPr>
        <w:t>2家</w:t>
      </w:r>
      <w:r>
        <w:rPr>
          <w:rFonts w:ascii="宋体" w:hAnsi="宋体" w:eastAsia="宋体" w:cs="Times New Roman"/>
          <w:kern w:val="2"/>
          <w:sz w:val="22"/>
          <w:szCs w:val="22"/>
          <w:lang w:val="zh-CN" w:eastAsia="zh-CN" w:bidi="ar-SA"/>
        </w:rPr>
        <w:t>）</w:t>
      </w:r>
      <w:r>
        <w:rPr>
          <w:rFonts w:hint="eastAsia" w:ascii="宋体" w:hAnsi="宋体" w:eastAsia="宋体" w:cs="Times New Roman"/>
          <w:kern w:val="2"/>
          <w:sz w:val="22"/>
          <w:szCs w:val="21"/>
          <w:lang w:val="en-US" w:eastAsia="zh-CN" w:bidi="ar-SA"/>
        </w:rPr>
        <w:t>。</w:t>
      </w:r>
    </w:p>
    <w:p w14:paraId="2C1BDC74">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ascii="宋体" w:hAnsi="宋体" w:eastAsia="宋体" w:cs="Times New Roman"/>
          <w:kern w:val="2"/>
          <w:sz w:val="22"/>
          <w:szCs w:val="21"/>
          <w:lang w:val="en-US" w:eastAsia="zh-CN" w:bidi="ar-SA"/>
        </w:rPr>
        <w:t>3.2</w:t>
      </w:r>
      <w:r>
        <w:rPr>
          <w:rFonts w:hint="eastAsia" w:ascii="宋体" w:hAnsi="宋体" w:eastAsia="宋体" w:cs="Times New Roman"/>
          <w:kern w:val="2"/>
          <w:sz w:val="22"/>
          <w:szCs w:val="21"/>
          <w:lang w:val="en-US" w:eastAsia="zh-CN" w:bidi="ar-SA"/>
        </w:rPr>
        <w:t>磋商文件中不能详细列明采购标的的技术、服务要求，需经过磋商由供应商提供最后设计方案或解决方案的，磋商结束后，磋商小组应当按照少数服从多数的原则投票推荐3家以上供应商的设计方案或者解决方案，并要求其在规定时间内，提交最后报价。</w:t>
      </w:r>
    </w:p>
    <w:p w14:paraId="625AF5BC">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ascii="宋体" w:hAnsi="宋体" w:eastAsia="宋体" w:cs="Times New Roman"/>
          <w:kern w:val="2"/>
          <w:sz w:val="22"/>
          <w:szCs w:val="21"/>
          <w:lang w:val="en-US" w:eastAsia="zh-CN" w:bidi="ar-SA"/>
        </w:rPr>
        <w:t>3.3</w:t>
      </w:r>
      <w:r>
        <w:rPr>
          <w:rFonts w:hint="eastAsia" w:ascii="宋体" w:hAnsi="宋体" w:eastAsia="宋体" w:cs="Times New Roman"/>
          <w:kern w:val="2"/>
          <w:sz w:val="22"/>
          <w:szCs w:val="21"/>
          <w:lang w:val="en-US" w:eastAsia="zh-CN" w:bidi="ar-SA"/>
        </w:rPr>
        <w:t>最后报价是供应商响应文件的有效组成部分。逾时不提交的，视同退出磋商。</w:t>
      </w:r>
    </w:p>
    <w:p w14:paraId="20B635C6">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bCs/>
          <w:kern w:val="2"/>
          <w:sz w:val="22"/>
          <w:szCs w:val="21"/>
          <w:lang w:val="zh-CN" w:eastAsia="zh-CN" w:bidi="ar-SA"/>
        </w:rPr>
      </w:pPr>
      <w:r>
        <w:rPr>
          <w:rFonts w:hint="eastAsia" w:ascii="宋体" w:hAnsi="宋体" w:eastAsia="宋体" w:cs="Helvetica"/>
          <w:kern w:val="2"/>
          <w:sz w:val="22"/>
          <w:szCs w:val="21"/>
          <w:lang w:val="zh-CN" w:eastAsia="zh-CN" w:bidi="ar-SA"/>
        </w:rPr>
        <w:t>最后</w:t>
      </w:r>
      <w:r>
        <w:rPr>
          <w:rFonts w:ascii="宋体" w:hAnsi="宋体" w:eastAsia="宋体" w:cs="Times New Roman"/>
          <w:bCs/>
          <w:kern w:val="2"/>
          <w:sz w:val="22"/>
          <w:szCs w:val="21"/>
          <w:lang w:val="zh-CN" w:eastAsia="zh-CN" w:bidi="ar-SA"/>
        </w:rPr>
        <w:t>报价出现</w:t>
      </w:r>
      <w:r>
        <w:rPr>
          <w:rFonts w:hint="eastAsia" w:ascii="宋体" w:hAnsi="宋体" w:eastAsia="宋体" w:cs="Times New Roman"/>
          <w:bCs/>
          <w:kern w:val="2"/>
          <w:sz w:val="22"/>
          <w:szCs w:val="21"/>
          <w:lang w:val="zh-CN" w:eastAsia="zh-CN" w:bidi="ar-SA"/>
        </w:rPr>
        <w:t>前后不一致的</w:t>
      </w:r>
      <w:r>
        <w:rPr>
          <w:rFonts w:ascii="宋体" w:hAnsi="宋体" w:eastAsia="宋体" w:cs="Times New Roman"/>
          <w:bCs/>
          <w:kern w:val="2"/>
          <w:sz w:val="22"/>
          <w:szCs w:val="21"/>
          <w:lang w:val="zh-CN" w:eastAsia="zh-CN" w:bidi="ar-SA"/>
        </w:rPr>
        <w:t>，按照下列规定修正：</w:t>
      </w:r>
    </w:p>
    <w:p w14:paraId="3F4A5F72">
      <w:pPr>
        <w:pageBreakBefore w:val="0"/>
        <w:widowControl w:val="0"/>
        <w:tabs>
          <w:tab w:val="left" w:pos="993"/>
        </w:tabs>
        <w:kinsoku/>
        <w:wordWrap w:val="0"/>
        <w:overflowPunct/>
        <w:topLinePunct w:val="0"/>
        <w:autoSpaceDE/>
        <w:autoSpaceDN/>
        <w:bidi w:val="0"/>
        <w:adjustRightInd w:val="0"/>
        <w:snapToGrid w:val="0"/>
        <w:spacing w:line="360" w:lineRule="auto"/>
        <w:ind w:left="519" w:leftChars="0" w:hanging="519" w:hangingChars="236"/>
        <w:jc w:val="left"/>
        <w:textAlignment w:val="auto"/>
        <w:rPr>
          <w:rFonts w:ascii="宋体" w:hAnsi="宋体" w:eastAsia="宋体" w:cs="Times New Roman"/>
          <w:sz w:val="22"/>
          <w:szCs w:val="22"/>
          <w:lang w:val="zh-CN"/>
        </w:rPr>
      </w:pPr>
      <w:r>
        <w:rPr>
          <w:rFonts w:hint="eastAsia" w:ascii="宋体" w:hAnsi="宋体" w:eastAsia="宋体" w:cs="Times New Roman"/>
          <w:sz w:val="22"/>
          <w:szCs w:val="22"/>
          <w:lang w:val="zh-CN"/>
        </w:rPr>
        <w:t>（1）</w:t>
      </w:r>
      <w:r>
        <w:rPr>
          <w:rFonts w:ascii="宋体" w:hAnsi="宋体" w:eastAsia="宋体" w:cs="Times New Roman"/>
          <w:sz w:val="22"/>
          <w:szCs w:val="22"/>
          <w:lang w:val="zh-CN"/>
        </w:rPr>
        <w:t>大写金额和小写金额不一致的，以大写金额为准</w:t>
      </w:r>
      <w:r>
        <w:rPr>
          <w:rFonts w:hint="eastAsia" w:ascii="宋体" w:hAnsi="宋体" w:eastAsia="宋体" w:cs="Times New Roman"/>
          <w:sz w:val="22"/>
          <w:szCs w:val="22"/>
          <w:lang w:val="zh-CN"/>
        </w:rPr>
        <w:t>；</w:t>
      </w:r>
    </w:p>
    <w:p w14:paraId="610ECF3A">
      <w:pPr>
        <w:pageBreakBefore w:val="0"/>
        <w:widowControl w:val="0"/>
        <w:tabs>
          <w:tab w:val="left" w:pos="993"/>
        </w:tabs>
        <w:kinsoku/>
        <w:wordWrap w:val="0"/>
        <w:overflowPunct/>
        <w:topLinePunct w:val="0"/>
        <w:autoSpaceDE/>
        <w:autoSpaceDN/>
        <w:bidi w:val="0"/>
        <w:adjustRightInd w:val="0"/>
        <w:snapToGrid w:val="0"/>
        <w:spacing w:line="360" w:lineRule="auto"/>
        <w:ind w:left="519" w:leftChars="0" w:hanging="519" w:hangingChars="236"/>
        <w:jc w:val="left"/>
        <w:textAlignment w:val="auto"/>
        <w:rPr>
          <w:rFonts w:ascii="宋体" w:hAnsi="宋体" w:eastAsia="宋体" w:cs="Times New Roman"/>
          <w:sz w:val="22"/>
          <w:szCs w:val="22"/>
          <w:lang w:val="zh-CN"/>
        </w:rPr>
      </w:pPr>
      <w:r>
        <w:rPr>
          <w:rFonts w:hint="eastAsia" w:ascii="宋体" w:hAnsi="宋体" w:eastAsia="宋体" w:cs="Times New Roman"/>
          <w:sz w:val="22"/>
          <w:szCs w:val="22"/>
          <w:lang w:val="zh-CN"/>
        </w:rPr>
        <w:t>（2）</w:t>
      </w:r>
      <w:r>
        <w:rPr>
          <w:rFonts w:ascii="宋体" w:hAnsi="宋体" w:eastAsia="宋体" w:cs="Times New Roman"/>
          <w:sz w:val="22"/>
          <w:szCs w:val="22"/>
          <w:lang w:val="zh-CN"/>
        </w:rPr>
        <w:t>单价金额</w:t>
      </w:r>
      <w:r>
        <w:rPr>
          <w:rFonts w:ascii="宋体" w:hAnsi="宋体" w:eastAsia="宋体" w:cs="宋体"/>
          <w:sz w:val="22"/>
          <w:szCs w:val="22"/>
        </w:rPr>
        <w:t>小数点</w:t>
      </w:r>
      <w:r>
        <w:rPr>
          <w:rFonts w:ascii="宋体" w:hAnsi="宋体" w:eastAsia="宋体" w:cs="Times New Roman"/>
          <w:sz w:val="22"/>
          <w:szCs w:val="22"/>
          <w:lang w:val="zh-CN"/>
        </w:rPr>
        <w:t>或百分比有明显错位的，以</w:t>
      </w:r>
      <w:r>
        <w:rPr>
          <w:rFonts w:hint="eastAsia" w:ascii="宋体" w:hAnsi="宋体" w:eastAsia="宋体" w:cs="Times New Roman"/>
          <w:sz w:val="22"/>
          <w:szCs w:val="22"/>
          <w:lang w:val="zh-CN"/>
        </w:rPr>
        <w:t>最后报价表</w:t>
      </w:r>
      <w:r>
        <w:rPr>
          <w:rFonts w:ascii="宋体" w:hAnsi="宋体" w:eastAsia="宋体" w:cs="Times New Roman"/>
          <w:sz w:val="22"/>
          <w:szCs w:val="22"/>
          <w:lang w:val="zh-CN"/>
        </w:rPr>
        <w:t>的总价为准，并修改单价</w:t>
      </w:r>
      <w:r>
        <w:rPr>
          <w:rFonts w:hint="eastAsia" w:ascii="宋体" w:hAnsi="宋体" w:eastAsia="宋体" w:cs="Times New Roman"/>
          <w:sz w:val="22"/>
          <w:szCs w:val="22"/>
          <w:lang w:val="zh-CN"/>
        </w:rPr>
        <w:t>；</w:t>
      </w:r>
    </w:p>
    <w:p w14:paraId="243CBFB8">
      <w:pPr>
        <w:pageBreakBefore w:val="0"/>
        <w:widowControl w:val="0"/>
        <w:tabs>
          <w:tab w:val="left" w:pos="993"/>
        </w:tabs>
        <w:kinsoku/>
        <w:wordWrap w:val="0"/>
        <w:overflowPunct/>
        <w:topLinePunct w:val="0"/>
        <w:autoSpaceDE/>
        <w:autoSpaceDN/>
        <w:bidi w:val="0"/>
        <w:adjustRightInd w:val="0"/>
        <w:snapToGrid w:val="0"/>
        <w:spacing w:line="360" w:lineRule="auto"/>
        <w:ind w:left="519" w:leftChars="0" w:hanging="519" w:hangingChars="236"/>
        <w:jc w:val="left"/>
        <w:textAlignment w:val="auto"/>
        <w:rPr>
          <w:rFonts w:ascii="宋体" w:hAnsi="宋体" w:eastAsia="宋体" w:cs="Times New Roman"/>
          <w:sz w:val="22"/>
          <w:szCs w:val="22"/>
          <w:lang w:val="zh-CN"/>
        </w:rPr>
      </w:pPr>
      <w:r>
        <w:rPr>
          <w:rFonts w:hint="eastAsia" w:ascii="宋体" w:hAnsi="宋体" w:eastAsia="宋体" w:cs="Times New Roman"/>
          <w:sz w:val="22"/>
          <w:szCs w:val="22"/>
          <w:lang w:val="zh-CN"/>
        </w:rPr>
        <w:t>（3）</w:t>
      </w:r>
      <w:r>
        <w:rPr>
          <w:rFonts w:ascii="宋体" w:hAnsi="宋体" w:eastAsia="宋体" w:cs="Times New Roman"/>
          <w:sz w:val="22"/>
          <w:szCs w:val="22"/>
          <w:lang w:val="zh-CN"/>
        </w:rPr>
        <w:t>总价金额与按单价汇总金额不一致的，以单价金额计算结果为准</w:t>
      </w:r>
      <w:r>
        <w:rPr>
          <w:rFonts w:hint="eastAsia" w:ascii="宋体" w:hAnsi="宋体" w:eastAsia="宋体" w:cs="Times New Roman"/>
          <w:sz w:val="22"/>
          <w:szCs w:val="22"/>
          <w:lang w:val="zh-CN"/>
        </w:rPr>
        <w:t>；</w:t>
      </w:r>
    </w:p>
    <w:p w14:paraId="635DA661">
      <w:pPr>
        <w:pageBreakBefore w:val="0"/>
        <w:widowControl w:val="0"/>
        <w:tabs>
          <w:tab w:val="left" w:pos="993"/>
        </w:tabs>
        <w:kinsoku/>
        <w:wordWrap w:val="0"/>
        <w:overflowPunct/>
        <w:topLinePunct w:val="0"/>
        <w:autoSpaceDE/>
        <w:autoSpaceDN/>
        <w:bidi w:val="0"/>
        <w:adjustRightInd w:val="0"/>
        <w:snapToGrid w:val="0"/>
        <w:spacing w:line="360" w:lineRule="auto"/>
        <w:ind w:left="519" w:leftChars="0" w:hanging="519" w:hangingChars="236"/>
        <w:jc w:val="left"/>
        <w:textAlignment w:val="auto"/>
        <w:rPr>
          <w:rFonts w:ascii="宋体" w:hAnsi="宋体" w:eastAsia="宋体" w:cs="Times New Roman"/>
          <w:sz w:val="22"/>
          <w:szCs w:val="22"/>
          <w:lang w:val="zh-CN"/>
        </w:rPr>
      </w:pPr>
      <w:r>
        <w:rPr>
          <w:rFonts w:hint="eastAsia" w:ascii="宋体" w:hAnsi="宋体" w:eastAsia="宋体" w:cs="Times New Roman"/>
          <w:sz w:val="22"/>
          <w:szCs w:val="22"/>
          <w:lang w:val="zh-CN"/>
        </w:rPr>
        <w:t>（4）</w:t>
      </w:r>
      <w:r>
        <w:rPr>
          <w:rFonts w:ascii="宋体" w:hAnsi="宋体" w:eastAsia="宋体" w:cs="Times New Roman"/>
          <w:sz w:val="22"/>
          <w:szCs w:val="22"/>
          <w:lang w:val="zh-CN"/>
        </w:rPr>
        <w:t>同时出现</w:t>
      </w:r>
      <w:r>
        <w:rPr>
          <w:rFonts w:ascii="宋体" w:hAnsi="宋体" w:eastAsia="宋体" w:cs="宋体"/>
          <w:sz w:val="22"/>
          <w:szCs w:val="22"/>
        </w:rPr>
        <w:t>两种</w:t>
      </w:r>
      <w:r>
        <w:rPr>
          <w:rFonts w:ascii="宋体" w:hAnsi="宋体" w:eastAsia="宋体" w:cs="Times New Roman"/>
          <w:sz w:val="22"/>
          <w:szCs w:val="22"/>
          <w:lang w:val="zh-CN"/>
        </w:rPr>
        <w:t>以上不一致的，按照前款规定的顺序修正</w:t>
      </w:r>
      <w:r>
        <w:rPr>
          <w:rFonts w:hint="eastAsia" w:ascii="宋体" w:hAnsi="宋体" w:eastAsia="宋体" w:cs="Times New Roman"/>
          <w:sz w:val="22"/>
          <w:szCs w:val="22"/>
          <w:lang w:val="zh-CN"/>
        </w:rPr>
        <w:t>；</w:t>
      </w:r>
    </w:p>
    <w:p w14:paraId="04074479">
      <w:pPr>
        <w:pageBreakBefore w:val="0"/>
        <w:widowControl w:val="0"/>
        <w:tabs>
          <w:tab w:val="left" w:pos="993"/>
        </w:tabs>
        <w:kinsoku/>
        <w:wordWrap w:val="0"/>
        <w:overflowPunct/>
        <w:topLinePunct w:val="0"/>
        <w:autoSpaceDE/>
        <w:autoSpaceDN/>
        <w:bidi w:val="0"/>
        <w:adjustRightInd w:val="0"/>
        <w:snapToGrid w:val="0"/>
        <w:spacing w:line="360" w:lineRule="auto"/>
        <w:ind w:left="519" w:leftChars="0" w:hanging="519" w:hangingChars="236"/>
        <w:jc w:val="left"/>
        <w:textAlignment w:val="auto"/>
        <w:rPr>
          <w:rFonts w:ascii="宋体" w:hAnsi="宋体" w:eastAsia="宋体" w:cs="Times New Roman"/>
          <w:sz w:val="22"/>
          <w:szCs w:val="21"/>
        </w:rPr>
      </w:pPr>
      <w:r>
        <w:rPr>
          <w:rFonts w:hint="eastAsia" w:ascii="宋体" w:hAnsi="宋体" w:eastAsia="宋体" w:cs="Times New Roman"/>
          <w:sz w:val="22"/>
          <w:szCs w:val="22"/>
          <w:lang w:val="zh-CN"/>
        </w:rPr>
        <w:t>（5）</w:t>
      </w:r>
      <w:r>
        <w:rPr>
          <w:rFonts w:ascii="宋体" w:hAnsi="宋体" w:eastAsia="宋体" w:cs="Times New Roman"/>
          <w:sz w:val="22"/>
          <w:szCs w:val="22"/>
          <w:lang w:val="zh-CN"/>
        </w:rPr>
        <w:t>修正后的报价</w:t>
      </w:r>
      <w:r>
        <w:rPr>
          <w:rFonts w:hint="eastAsia" w:ascii="宋体" w:hAnsi="宋体" w:eastAsia="宋体" w:cs="Times New Roman"/>
          <w:sz w:val="22"/>
          <w:szCs w:val="22"/>
          <w:lang w:val="zh-CN"/>
        </w:rPr>
        <w:t>应通过书面方式</w:t>
      </w:r>
      <w:r>
        <w:rPr>
          <w:rFonts w:ascii="宋体" w:hAnsi="宋体" w:eastAsia="宋体" w:cs="Times New Roman"/>
          <w:sz w:val="22"/>
          <w:szCs w:val="22"/>
          <w:lang w:val="zh-CN"/>
        </w:rPr>
        <w:t>通知</w:t>
      </w:r>
      <w:r>
        <w:rPr>
          <w:rFonts w:hint="eastAsia" w:ascii="宋体" w:hAnsi="宋体" w:eastAsia="宋体" w:cs="Times New Roman"/>
          <w:sz w:val="22"/>
          <w:szCs w:val="22"/>
          <w:lang w:val="zh-CN"/>
        </w:rPr>
        <w:t>供应商，由</w:t>
      </w:r>
      <w:r>
        <w:rPr>
          <w:rFonts w:ascii="宋体" w:hAnsi="宋体" w:eastAsia="宋体" w:cs="Times New Roman"/>
          <w:sz w:val="22"/>
          <w:szCs w:val="22"/>
          <w:lang w:val="zh-CN"/>
        </w:rPr>
        <w:t>供应商</w:t>
      </w:r>
      <w:r>
        <w:rPr>
          <w:rFonts w:hint="eastAsia" w:ascii="宋体" w:hAnsi="宋体" w:eastAsia="宋体" w:cs="Times New Roman"/>
          <w:sz w:val="22"/>
          <w:szCs w:val="22"/>
          <w:lang w:val="zh-CN"/>
        </w:rPr>
        <w:t>授权代表签字（或加盖公章）</w:t>
      </w:r>
      <w:r>
        <w:rPr>
          <w:rFonts w:ascii="宋体" w:hAnsi="宋体" w:eastAsia="宋体" w:cs="Times New Roman"/>
          <w:sz w:val="22"/>
          <w:szCs w:val="22"/>
          <w:lang w:val="zh-CN"/>
        </w:rPr>
        <w:t>确认后产生约束力，供应商不确认的，</w:t>
      </w:r>
      <w:r>
        <w:rPr>
          <w:rFonts w:hint="eastAsia" w:ascii="宋体" w:hAnsi="宋体" w:eastAsia="宋体" w:cs="Times New Roman"/>
          <w:sz w:val="22"/>
          <w:szCs w:val="22"/>
          <w:lang w:val="zh-CN"/>
        </w:rPr>
        <w:t>按照</w:t>
      </w:r>
      <w:r>
        <w:rPr>
          <w:rFonts w:ascii="宋体" w:hAnsi="宋体" w:eastAsia="宋体" w:cs="Times New Roman"/>
          <w:b/>
          <w:sz w:val="22"/>
          <w:szCs w:val="22"/>
          <w:lang w:val="zh-CN"/>
        </w:rPr>
        <w:t>无效</w:t>
      </w:r>
      <w:r>
        <w:rPr>
          <w:rFonts w:hint="eastAsia" w:ascii="宋体" w:hAnsi="宋体" w:eastAsia="宋体" w:cs="Times New Roman"/>
          <w:b/>
          <w:sz w:val="22"/>
          <w:szCs w:val="22"/>
          <w:lang w:val="zh-CN"/>
        </w:rPr>
        <w:t>响应处理</w:t>
      </w:r>
      <w:r>
        <w:rPr>
          <w:rFonts w:ascii="宋体" w:hAnsi="宋体" w:eastAsia="宋体" w:cs="Times New Roman"/>
          <w:sz w:val="22"/>
          <w:szCs w:val="22"/>
          <w:lang w:val="zh-CN"/>
        </w:rPr>
        <w:t>。</w:t>
      </w:r>
    </w:p>
    <w:p w14:paraId="38EE3572">
      <w:pPr>
        <w:keepNext/>
        <w:keepLines/>
        <w:pageBreakBefore w:val="0"/>
        <w:widowControl w:val="0"/>
        <w:numPr>
          <w:ilvl w:val="0"/>
          <w:numId w:val="0"/>
        </w:numPr>
        <w:kinsoku/>
        <w:overflowPunct/>
        <w:topLinePunct w:val="0"/>
        <w:autoSpaceDE/>
        <w:autoSpaceDN/>
        <w:bidi w:val="0"/>
        <w:spacing w:before="0" w:after="0" w:line="376" w:lineRule="auto"/>
        <w:ind w:left="-420" w:leftChars="0"/>
        <w:textAlignment w:val="auto"/>
        <w:outlineLvl w:val="3"/>
        <w:rPr>
          <w:rFonts w:ascii="等线 Light" w:hAnsi="等线 Light" w:eastAsia="宋体" w:cs="Times New Roman"/>
          <w:b/>
          <w:bCs/>
          <w:kern w:val="2"/>
          <w:sz w:val="24"/>
          <w:szCs w:val="24"/>
          <w:lang w:val="en-US" w:eastAsia="zh-CN" w:bidi="ar-SA"/>
        </w:rPr>
      </w:pPr>
      <w:bookmarkStart w:id="61" w:name="_Toc102114947"/>
      <w:bookmarkStart w:id="62" w:name="_Toc102056245"/>
      <w:bookmarkStart w:id="63" w:name="_Toc102116179"/>
      <w:bookmarkStart w:id="64" w:name="_Toc102119880"/>
      <w:bookmarkStart w:id="65" w:name="_Toc102116049"/>
      <w:bookmarkStart w:id="66" w:name="_Toc102057745"/>
      <w:r>
        <w:rPr>
          <w:rFonts w:hint="eastAsia" w:ascii="等线 Light" w:hAnsi="等线 Light" w:eastAsia="宋体" w:cs="Times New Roman"/>
          <w:b/>
          <w:bCs/>
          <w:kern w:val="2"/>
          <w:sz w:val="24"/>
          <w:szCs w:val="24"/>
          <w:lang w:val="en-US" w:eastAsia="zh-CN" w:bidi="ar-SA"/>
        </w:rPr>
        <w:t>4.商务技术评审</w:t>
      </w:r>
    </w:p>
    <w:p w14:paraId="09BCEFD2">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4</w:t>
      </w:r>
      <w:r>
        <w:rPr>
          <w:rFonts w:ascii="宋体" w:hAnsi="宋体" w:eastAsia="宋体" w:cs="Times New Roman"/>
          <w:kern w:val="2"/>
          <w:sz w:val="22"/>
          <w:szCs w:val="21"/>
          <w:lang w:val="zh-CN" w:eastAsia="zh-CN" w:bidi="ar-SA"/>
        </w:rPr>
        <w:t>.1</w:t>
      </w:r>
      <w:r>
        <w:rPr>
          <w:rFonts w:hint="eastAsia" w:ascii="宋体" w:hAnsi="宋体" w:eastAsia="宋体" w:cs="Times New Roman"/>
          <w:kern w:val="2"/>
          <w:sz w:val="22"/>
          <w:szCs w:val="21"/>
          <w:lang w:val="zh-CN" w:eastAsia="zh-CN" w:bidi="ar-SA"/>
        </w:rPr>
        <w:t>磋商小组</w:t>
      </w:r>
      <w:r>
        <w:rPr>
          <w:rFonts w:ascii="宋体" w:hAnsi="宋体" w:eastAsia="宋体" w:cs="Times New Roman"/>
          <w:kern w:val="2"/>
          <w:sz w:val="22"/>
          <w:szCs w:val="21"/>
          <w:lang w:val="zh-CN" w:eastAsia="zh-CN" w:bidi="ar-SA"/>
        </w:rPr>
        <w:t>应</w:t>
      </w:r>
      <w:r>
        <w:rPr>
          <w:rFonts w:hint="eastAsia" w:ascii="宋体" w:hAnsi="宋体" w:eastAsia="宋体" w:cs="Times New Roman"/>
          <w:kern w:val="2"/>
          <w:sz w:val="22"/>
          <w:szCs w:val="21"/>
          <w:lang w:val="zh-CN" w:eastAsia="zh-CN" w:bidi="ar-SA"/>
        </w:rPr>
        <w:t>对提交最后报价的响应文件进行商务和技术评审，并</w:t>
      </w:r>
      <w:r>
        <w:rPr>
          <w:rFonts w:ascii="宋体" w:hAnsi="宋体" w:eastAsia="宋体" w:cs="Times New Roman"/>
          <w:kern w:val="2"/>
          <w:sz w:val="22"/>
          <w:szCs w:val="21"/>
          <w:lang w:val="zh-CN" w:eastAsia="zh-CN" w:bidi="ar-SA"/>
        </w:rPr>
        <w:t>按照</w:t>
      </w:r>
      <w:r>
        <w:rPr>
          <w:rFonts w:hint="eastAsia" w:ascii="宋体" w:hAnsi="宋体" w:eastAsia="宋体" w:cs="Times New Roman"/>
          <w:kern w:val="2"/>
          <w:sz w:val="22"/>
          <w:szCs w:val="21"/>
          <w:lang w:val="zh-CN" w:eastAsia="zh-CN" w:bidi="ar-SA"/>
        </w:rPr>
        <w:t>磋商</w:t>
      </w:r>
      <w:r>
        <w:rPr>
          <w:rFonts w:ascii="宋体" w:hAnsi="宋体" w:eastAsia="宋体" w:cs="Times New Roman"/>
          <w:kern w:val="2"/>
          <w:sz w:val="22"/>
          <w:szCs w:val="21"/>
          <w:lang w:val="zh-CN" w:eastAsia="zh-CN" w:bidi="ar-SA"/>
        </w:rPr>
        <w:t>文件要求</w:t>
      </w:r>
      <w:r>
        <w:rPr>
          <w:rFonts w:hint="eastAsia" w:ascii="宋体" w:hAnsi="宋体" w:eastAsia="宋体" w:cs="Times New Roman"/>
          <w:kern w:val="2"/>
          <w:sz w:val="22"/>
          <w:szCs w:val="21"/>
          <w:lang w:val="zh-CN" w:eastAsia="zh-CN" w:bidi="ar-SA"/>
        </w:rPr>
        <w:t>、本章“三、评审标准”中的内容以</w:t>
      </w:r>
      <w:r>
        <w:rPr>
          <w:rFonts w:ascii="宋体" w:hAnsi="宋体" w:eastAsia="宋体" w:cs="Times New Roman"/>
          <w:kern w:val="2"/>
          <w:sz w:val="22"/>
          <w:szCs w:val="21"/>
          <w:lang w:val="zh-CN" w:eastAsia="zh-CN" w:bidi="ar-SA"/>
        </w:rPr>
        <w:t>及磋商文件实</w:t>
      </w:r>
      <w:r>
        <w:rPr>
          <w:rFonts w:hint="eastAsia" w:ascii="宋体" w:hAnsi="宋体" w:eastAsia="宋体" w:cs="Times New Roman"/>
          <w:kern w:val="2"/>
          <w:sz w:val="22"/>
          <w:szCs w:val="21"/>
          <w:lang w:val="zh-CN" w:eastAsia="zh-CN" w:bidi="ar-SA"/>
        </w:rPr>
        <w:t>质</w:t>
      </w:r>
      <w:r>
        <w:rPr>
          <w:rFonts w:ascii="宋体" w:hAnsi="宋体" w:eastAsia="宋体" w:cs="Times New Roman"/>
          <w:kern w:val="2"/>
          <w:sz w:val="22"/>
          <w:szCs w:val="21"/>
          <w:lang w:val="zh-CN" w:eastAsia="zh-CN" w:bidi="ar-SA"/>
        </w:rPr>
        <w:t>性变动内容的响应</w:t>
      </w:r>
      <w:r>
        <w:rPr>
          <w:rFonts w:hint="eastAsia" w:ascii="宋体" w:hAnsi="宋体" w:eastAsia="宋体" w:cs="Times New Roman"/>
          <w:kern w:val="2"/>
          <w:sz w:val="22"/>
          <w:szCs w:val="21"/>
          <w:lang w:val="zh-CN" w:eastAsia="zh-CN" w:bidi="ar-SA"/>
        </w:rPr>
        <w:t>情况进行综合比较和评价。</w:t>
      </w:r>
    </w:p>
    <w:bookmarkEnd w:id="53"/>
    <w:bookmarkEnd w:id="54"/>
    <w:bookmarkEnd w:id="55"/>
    <w:bookmarkEnd w:id="56"/>
    <w:bookmarkEnd w:id="57"/>
    <w:bookmarkEnd w:id="58"/>
    <w:bookmarkEnd w:id="61"/>
    <w:bookmarkEnd w:id="62"/>
    <w:bookmarkEnd w:id="63"/>
    <w:bookmarkEnd w:id="64"/>
    <w:bookmarkEnd w:id="65"/>
    <w:bookmarkEnd w:id="66"/>
    <w:p w14:paraId="50114691">
      <w:pPr>
        <w:keepNext/>
        <w:keepLines/>
        <w:pageBreakBefore w:val="0"/>
        <w:widowControl w:val="0"/>
        <w:numPr>
          <w:ilvl w:val="0"/>
          <w:numId w:val="0"/>
        </w:numPr>
        <w:kinsoku/>
        <w:overflowPunct/>
        <w:topLinePunct w:val="0"/>
        <w:autoSpaceDE/>
        <w:autoSpaceDN/>
        <w:bidi w:val="0"/>
        <w:spacing w:before="0" w:after="0" w:line="376" w:lineRule="auto"/>
        <w:ind w:left="-420" w:leftChars="0"/>
        <w:textAlignment w:val="auto"/>
        <w:outlineLvl w:val="3"/>
        <w:rPr>
          <w:rFonts w:ascii="等线 Light" w:hAnsi="等线 Light" w:eastAsia="宋体" w:cs="Times New Roman"/>
          <w:b/>
          <w:bCs/>
          <w:kern w:val="2"/>
          <w:sz w:val="24"/>
          <w:szCs w:val="24"/>
          <w:lang w:val="en-US" w:eastAsia="zh-CN" w:bidi="ar-SA"/>
        </w:rPr>
      </w:pPr>
      <w:bookmarkStart w:id="67" w:name="_Toc102057747"/>
      <w:bookmarkStart w:id="68" w:name="_Toc102119882"/>
      <w:bookmarkStart w:id="69" w:name="_Toc102114949"/>
      <w:bookmarkStart w:id="70" w:name="_Toc102056247"/>
      <w:bookmarkStart w:id="71" w:name="_Toc102116051"/>
      <w:bookmarkStart w:id="72" w:name="_Toc102116181"/>
      <w:r>
        <w:rPr>
          <w:rFonts w:hint="eastAsia" w:ascii="等线 Light" w:hAnsi="等线 Light" w:eastAsia="宋体" w:cs="Times New Roman"/>
          <w:b/>
          <w:bCs/>
          <w:kern w:val="2"/>
          <w:sz w:val="24"/>
          <w:szCs w:val="24"/>
          <w:lang w:val="en-US" w:eastAsia="zh-CN" w:bidi="ar-SA"/>
        </w:rPr>
        <w:t>5.报价评</w:t>
      </w:r>
      <w:bookmarkEnd w:id="67"/>
      <w:bookmarkEnd w:id="68"/>
      <w:bookmarkEnd w:id="69"/>
      <w:bookmarkEnd w:id="70"/>
      <w:bookmarkEnd w:id="71"/>
      <w:bookmarkEnd w:id="72"/>
      <w:r>
        <w:rPr>
          <w:rFonts w:hint="eastAsia" w:ascii="等线 Light" w:hAnsi="等线 Light" w:eastAsia="宋体" w:cs="Times New Roman"/>
          <w:b/>
          <w:bCs/>
          <w:kern w:val="2"/>
          <w:sz w:val="24"/>
          <w:szCs w:val="24"/>
          <w:lang w:val="en-US" w:eastAsia="zh-CN" w:bidi="ar-SA"/>
        </w:rPr>
        <w:t>审</w:t>
      </w:r>
    </w:p>
    <w:p w14:paraId="3AB4A780">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bCs/>
          <w:kern w:val="2"/>
          <w:sz w:val="22"/>
          <w:szCs w:val="20"/>
          <w:lang w:val="zh-CN" w:eastAsia="zh-CN" w:bidi="ar-SA"/>
        </w:rPr>
      </w:pPr>
      <w:r>
        <w:rPr>
          <w:rFonts w:hint="eastAsia" w:ascii="宋体" w:hAnsi="宋体" w:eastAsia="宋体" w:cs="Times New Roman"/>
          <w:kern w:val="2"/>
          <w:sz w:val="22"/>
          <w:szCs w:val="21"/>
          <w:lang w:val="zh-CN" w:eastAsia="zh-CN" w:bidi="ar-SA"/>
        </w:rPr>
        <w:t>5</w:t>
      </w:r>
      <w:r>
        <w:rPr>
          <w:rFonts w:ascii="宋体" w:hAnsi="宋体" w:eastAsia="宋体" w:cs="Times New Roman"/>
          <w:kern w:val="2"/>
          <w:sz w:val="22"/>
          <w:szCs w:val="21"/>
          <w:lang w:val="zh-CN" w:eastAsia="zh-CN" w:bidi="ar-SA"/>
        </w:rPr>
        <w:t>.1</w:t>
      </w:r>
      <w:r>
        <w:rPr>
          <w:rFonts w:hint="eastAsia" w:ascii="宋体" w:hAnsi="宋体" w:eastAsia="宋体" w:cs="Times New Roman"/>
          <w:kern w:val="2"/>
          <w:sz w:val="22"/>
          <w:szCs w:val="21"/>
          <w:lang w:val="zh-CN" w:eastAsia="zh-CN" w:bidi="ar-SA"/>
        </w:rPr>
        <w:t>报价合理性说明：磋商</w:t>
      </w:r>
      <w:r>
        <w:rPr>
          <w:rFonts w:ascii="宋体" w:hAnsi="宋体" w:eastAsia="宋体" w:cs="Times New Roman"/>
          <w:kern w:val="2"/>
          <w:sz w:val="22"/>
          <w:szCs w:val="21"/>
          <w:lang w:val="zh-CN" w:eastAsia="zh-CN" w:bidi="ar-SA"/>
        </w:rPr>
        <w:t>小组认为供应商的</w:t>
      </w:r>
      <w:r>
        <w:rPr>
          <w:rFonts w:hint="eastAsia" w:ascii="宋体" w:hAnsi="宋体" w:eastAsia="宋体" w:cs="Times New Roman"/>
          <w:kern w:val="2"/>
          <w:sz w:val="22"/>
          <w:szCs w:val="21"/>
          <w:lang w:val="zh-CN" w:eastAsia="zh-CN" w:bidi="ar-SA"/>
        </w:rPr>
        <w:t>最后</w:t>
      </w:r>
      <w:r>
        <w:rPr>
          <w:rFonts w:ascii="宋体" w:hAnsi="宋体" w:eastAsia="宋体" w:cs="Times New Roman"/>
          <w:kern w:val="2"/>
          <w:sz w:val="22"/>
          <w:szCs w:val="21"/>
          <w:lang w:val="zh-CN" w:eastAsia="zh-CN" w:bidi="ar-SA"/>
        </w:rPr>
        <w:t>报价明显低于其他供应商</w:t>
      </w:r>
      <w:r>
        <w:rPr>
          <w:rFonts w:hint="eastAsia" w:ascii="宋体" w:hAnsi="宋体" w:eastAsia="宋体" w:cs="Times New Roman"/>
          <w:kern w:val="2"/>
          <w:sz w:val="22"/>
          <w:szCs w:val="21"/>
          <w:lang w:val="zh-CN" w:eastAsia="zh-CN" w:bidi="ar-SA"/>
        </w:rPr>
        <w:t>最后</w:t>
      </w:r>
      <w:r>
        <w:rPr>
          <w:rFonts w:ascii="宋体" w:hAnsi="宋体" w:eastAsia="宋体" w:cs="Times New Roman"/>
          <w:kern w:val="2"/>
          <w:sz w:val="22"/>
          <w:szCs w:val="21"/>
          <w:lang w:val="zh-CN" w:eastAsia="zh-CN" w:bidi="ar-SA"/>
        </w:rPr>
        <w:t>报价，有可能影响产品质量或者不能诚信履约的，应当要求其</w:t>
      </w:r>
      <w:r>
        <w:rPr>
          <w:rFonts w:hint="eastAsia" w:ascii="宋体" w:hAnsi="宋体" w:eastAsia="宋体" w:cs="Times New Roman"/>
          <w:kern w:val="2"/>
          <w:sz w:val="22"/>
          <w:szCs w:val="21"/>
          <w:lang w:val="zh-CN" w:eastAsia="zh-CN" w:bidi="ar-SA"/>
        </w:rPr>
        <w:t>在</w:t>
      </w:r>
      <w:r>
        <w:rPr>
          <w:rFonts w:ascii="宋体" w:hAnsi="宋体" w:eastAsia="宋体" w:cs="Times New Roman"/>
          <w:kern w:val="2"/>
          <w:sz w:val="22"/>
          <w:szCs w:val="21"/>
          <w:lang w:val="zh-CN" w:eastAsia="zh-CN" w:bidi="ar-SA"/>
        </w:rPr>
        <w:t>合理的时间内提供说明，必要时提交相关证明材料；供应商不能证明其</w:t>
      </w:r>
      <w:r>
        <w:rPr>
          <w:rFonts w:hint="eastAsia" w:ascii="宋体" w:hAnsi="宋体" w:eastAsia="宋体" w:cs="Times New Roman"/>
          <w:kern w:val="2"/>
          <w:sz w:val="22"/>
          <w:szCs w:val="21"/>
          <w:lang w:val="zh-CN" w:eastAsia="zh-CN" w:bidi="ar-SA"/>
        </w:rPr>
        <w:t>最后</w:t>
      </w:r>
      <w:r>
        <w:rPr>
          <w:rFonts w:ascii="宋体" w:hAnsi="宋体" w:eastAsia="宋体" w:cs="Times New Roman"/>
          <w:kern w:val="2"/>
          <w:sz w:val="22"/>
          <w:szCs w:val="21"/>
          <w:lang w:val="zh-CN" w:eastAsia="zh-CN" w:bidi="ar-SA"/>
        </w:rPr>
        <w:t>报价合理性的，</w:t>
      </w:r>
      <w:r>
        <w:rPr>
          <w:rFonts w:hint="eastAsia" w:ascii="宋体" w:hAnsi="宋体" w:eastAsia="宋体" w:cs="Times New Roman"/>
          <w:kern w:val="2"/>
          <w:sz w:val="22"/>
          <w:szCs w:val="21"/>
          <w:lang w:val="zh-CN" w:eastAsia="zh-CN" w:bidi="ar-SA"/>
        </w:rPr>
        <w:t>磋商</w:t>
      </w:r>
      <w:r>
        <w:rPr>
          <w:rFonts w:ascii="宋体" w:hAnsi="宋体" w:eastAsia="宋体" w:cs="Times New Roman"/>
          <w:kern w:val="2"/>
          <w:sz w:val="22"/>
          <w:szCs w:val="21"/>
          <w:lang w:val="zh-CN" w:eastAsia="zh-CN" w:bidi="ar-SA"/>
        </w:rPr>
        <w:t>小组</w:t>
      </w:r>
      <w:r>
        <w:rPr>
          <w:rFonts w:hint="eastAsia" w:ascii="宋体" w:hAnsi="宋体" w:eastAsia="宋体" w:cs="Times New Roman"/>
          <w:kern w:val="2"/>
          <w:sz w:val="22"/>
          <w:szCs w:val="21"/>
          <w:lang w:val="zh-CN" w:eastAsia="zh-CN" w:bidi="ar-SA"/>
        </w:rPr>
        <w:t>应当将其作为</w:t>
      </w:r>
      <w:r>
        <w:rPr>
          <w:rFonts w:ascii="宋体" w:hAnsi="宋体" w:eastAsia="宋体" w:cs="Times New Roman"/>
          <w:b/>
          <w:kern w:val="2"/>
          <w:sz w:val="22"/>
          <w:szCs w:val="21"/>
          <w:lang w:val="zh-CN" w:eastAsia="zh-CN" w:bidi="ar-SA"/>
        </w:rPr>
        <w:t>无效</w:t>
      </w:r>
      <w:r>
        <w:rPr>
          <w:rFonts w:hint="eastAsia" w:ascii="宋体" w:hAnsi="宋体" w:eastAsia="宋体" w:cs="Times New Roman"/>
          <w:b/>
          <w:kern w:val="2"/>
          <w:sz w:val="22"/>
          <w:szCs w:val="21"/>
          <w:lang w:val="zh-CN" w:eastAsia="zh-CN" w:bidi="ar-SA"/>
        </w:rPr>
        <w:t>响应</w:t>
      </w:r>
      <w:r>
        <w:rPr>
          <w:rFonts w:ascii="宋体" w:hAnsi="宋体" w:eastAsia="宋体" w:cs="Times New Roman"/>
          <w:b/>
          <w:kern w:val="2"/>
          <w:sz w:val="22"/>
          <w:szCs w:val="21"/>
          <w:lang w:val="zh-CN" w:eastAsia="zh-CN" w:bidi="ar-SA"/>
        </w:rPr>
        <w:t>处理</w:t>
      </w:r>
      <w:r>
        <w:rPr>
          <w:rFonts w:ascii="宋体" w:hAnsi="宋体" w:eastAsia="宋体" w:cs="Times New Roman"/>
          <w:kern w:val="2"/>
          <w:sz w:val="22"/>
          <w:szCs w:val="21"/>
          <w:lang w:val="zh-CN" w:eastAsia="zh-CN" w:bidi="ar-SA"/>
        </w:rPr>
        <w:t>。</w:t>
      </w:r>
    </w:p>
    <w:p w14:paraId="575E02A6">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5</w:t>
      </w:r>
      <w:r>
        <w:rPr>
          <w:rFonts w:ascii="宋体" w:hAnsi="宋体" w:eastAsia="宋体" w:cs="Times New Roman"/>
          <w:kern w:val="2"/>
          <w:sz w:val="22"/>
          <w:szCs w:val="21"/>
          <w:lang w:val="zh-CN" w:eastAsia="zh-CN" w:bidi="ar-SA"/>
        </w:rPr>
        <w:t>.2</w:t>
      </w:r>
      <w:r>
        <w:rPr>
          <w:rFonts w:hint="eastAsia" w:ascii="宋体" w:hAnsi="宋体" w:eastAsia="宋体" w:cs="Times New Roman"/>
          <w:kern w:val="2"/>
          <w:sz w:val="22"/>
          <w:szCs w:val="21"/>
          <w:lang w:val="zh-CN" w:eastAsia="zh-CN" w:bidi="ar-SA"/>
        </w:rPr>
        <w:t>价格扣除：</w:t>
      </w:r>
      <w:r>
        <w:rPr>
          <w:rFonts w:ascii="宋体" w:hAnsi="宋体" w:eastAsia="宋体" w:cs="Times New Roman"/>
          <w:kern w:val="2"/>
          <w:sz w:val="22"/>
          <w:szCs w:val="21"/>
          <w:lang w:val="zh-CN" w:eastAsia="zh-CN" w:bidi="ar-SA"/>
        </w:rPr>
        <w:t xml:space="preserve"> </w:t>
      </w:r>
    </w:p>
    <w:p w14:paraId="0B33204E">
      <w:pPr>
        <w:pageBreakBefore w:val="0"/>
        <w:widowControl w:val="0"/>
        <w:numPr>
          <w:ilvl w:val="0"/>
          <w:numId w:val="4"/>
        </w:numPr>
        <w:kinsoku/>
        <w:wordWrap w:val="0"/>
        <w:overflowPunct/>
        <w:topLinePunct w:val="0"/>
        <w:autoSpaceDE/>
        <w:autoSpaceDN/>
        <w:bidi w:val="0"/>
        <w:spacing w:line="360" w:lineRule="auto"/>
        <w:ind w:left="0" w:leftChars="0" w:firstLine="440" w:firstLineChars="200"/>
        <w:textAlignment w:val="auto"/>
        <w:rPr>
          <w:rFonts w:hint="eastAsia"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非专门面向中小企业的采购项目或采购包，对符合规定的小微企业（监狱企业、残疾人福利性单位、联合体各方均为小微企业的联合体、符合小微企业划分标准的个体工商户视同小微企业）报价按照竞争性磋商文件”供应商须知前附表”中的规定扣除，对小微企业中的监狱企业、残疾人福利性单位、采购产品纳入创新产品应用示范推荐目录内企业、采购产品获得节能产品或环境标志产品认证证书的企业报价按照本竞争性磋商文件”供应商须知前附表”中的规定扣除，用扣除后的价格计算评审基准价。</w:t>
      </w:r>
    </w:p>
    <w:p w14:paraId="02CB7F47">
      <w:pPr>
        <w:pageBreakBefore w:val="0"/>
        <w:widowControl w:val="0"/>
        <w:numPr>
          <w:ilvl w:val="0"/>
          <w:numId w:val="4"/>
        </w:numPr>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en-US" w:eastAsia="zh-CN" w:bidi="ar-S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7C188231">
      <w:pPr>
        <w:pageBreakBefore w:val="0"/>
        <w:widowControl w:val="0"/>
        <w:numPr>
          <w:ilvl w:val="0"/>
          <w:numId w:val="4"/>
        </w:numPr>
        <w:kinsoku/>
        <w:wordWrap w:val="0"/>
        <w:overflowPunct/>
        <w:topLinePunct w:val="0"/>
        <w:autoSpaceDE/>
        <w:autoSpaceDN/>
        <w:bidi w:val="0"/>
        <w:spacing w:line="360" w:lineRule="auto"/>
        <w:ind w:left="0" w:leftChars="0" w:firstLine="442"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b/>
          <w:bCs/>
          <w:kern w:val="2"/>
          <w:sz w:val="22"/>
          <w:szCs w:val="21"/>
          <w:lang w:val="en-US" w:eastAsia="zh-CN" w:bidi="ar-SA"/>
        </w:rPr>
        <w:t>专门面向中小企业、预留部分采购份额面向中小企业采购的项目或采购包，评审时不再进行价格扣除。</w:t>
      </w:r>
    </w:p>
    <w:p w14:paraId="56821291">
      <w:pPr>
        <w:pageBreakBefore w:val="0"/>
        <w:widowControl w:val="0"/>
        <w:numPr>
          <w:ilvl w:val="0"/>
          <w:numId w:val="0"/>
        </w:numPr>
        <w:shd w:val="clear" w:color="auto" w:fill="FFFFFF"/>
        <w:kinsoku/>
        <w:wordWrap w:val="0"/>
        <w:overflowPunct/>
        <w:topLinePunct w:val="0"/>
        <w:autoSpaceDE/>
        <w:autoSpaceDN/>
        <w:bidi w:val="0"/>
        <w:spacing w:line="360" w:lineRule="auto"/>
        <w:ind w:firstLine="440" w:firstLineChars="200"/>
        <w:textAlignment w:val="auto"/>
        <w:rPr>
          <w:rFonts w:ascii="宋体" w:hAnsi="宋体" w:eastAsia="宋体" w:cs="Times New Roman"/>
          <w:kern w:val="2"/>
          <w:sz w:val="22"/>
          <w:szCs w:val="21"/>
          <w:lang w:val="zh-CN" w:eastAsia="zh-CN" w:bidi="ar-SA"/>
        </w:rPr>
      </w:pPr>
      <w:r>
        <w:rPr>
          <w:rFonts w:ascii="宋体" w:hAnsi="宋体" w:eastAsia="宋体" w:cs="Times New Roman"/>
          <w:kern w:val="2"/>
          <w:sz w:val="22"/>
          <w:szCs w:val="21"/>
          <w:lang w:val="zh-CN" w:eastAsia="zh-CN" w:bidi="ar-SA"/>
        </w:rPr>
        <w:t>5.3价格分采用低价优先法计算，不得去掉报价中的最高报价和最低报价。计算方法详见本章“三、</w:t>
      </w:r>
      <w:r>
        <w:rPr>
          <w:rFonts w:hint="eastAsia" w:ascii="宋体" w:hAnsi="宋体" w:eastAsia="宋体" w:cs="Times New Roman"/>
          <w:kern w:val="2"/>
          <w:sz w:val="22"/>
          <w:szCs w:val="21"/>
          <w:lang w:val="zh-CN" w:eastAsia="zh-CN" w:bidi="ar-SA"/>
        </w:rPr>
        <w:t>评审</w:t>
      </w:r>
      <w:r>
        <w:rPr>
          <w:rFonts w:ascii="宋体" w:hAnsi="宋体" w:eastAsia="宋体" w:cs="Times New Roman"/>
          <w:kern w:val="2"/>
          <w:sz w:val="22"/>
          <w:szCs w:val="21"/>
          <w:lang w:val="zh-CN" w:eastAsia="zh-CN" w:bidi="ar-SA"/>
        </w:rPr>
        <w:t>标准”中的具体计算公式。</w:t>
      </w:r>
    </w:p>
    <w:p w14:paraId="5D947930">
      <w:pPr>
        <w:keepNext/>
        <w:keepLines/>
        <w:pageBreakBefore w:val="0"/>
        <w:widowControl w:val="0"/>
        <w:numPr>
          <w:ilvl w:val="0"/>
          <w:numId w:val="0"/>
        </w:numPr>
        <w:kinsoku/>
        <w:overflowPunct/>
        <w:topLinePunct w:val="0"/>
        <w:autoSpaceDE/>
        <w:autoSpaceDN/>
        <w:bidi w:val="0"/>
        <w:spacing w:before="0" w:after="0" w:line="376" w:lineRule="auto"/>
        <w:ind w:left="-420" w:leftChars="0" w:firstLine="482" w:firstLineChars="200"/>
        <w:textAlignment w:val="auto"/>
        <w:outlineLvl w:val="3"/>
        <w:rPr>
          <w:rFonts w:ascii="等线 Light" w:hAnsi="等线 Light" w:eastAsia="宋体" w:cs="Times New Roman"/>
          <w:b/>
          <w:bCs/>
          <w:kern w:val="2"/>
          <w:sz w:val="24"/>
          <w:szCs w:val="24"/>
          <w:lang w:val="en-US" w:eastAsia="zh-CN" w:bidi="ar-SA"/>
        </w:rPr>
      </w:pPr>
      <w:bookmarkStart w:id="73" w:name="_Toc102116053"/>
      <w:bookmarkStart w:id="74" w:name="_Toc102116183"/>
      <w:bookmarkStart w:id="75" w:name="_Toc102114951"/>
      <w:bookmarkStart w:id="76" w:name="_Toc102119884"/>
      <w:bookmarkStart w:id="77" w:name="_Toc102056249"/>
      <w:bookmarkStart w:id="78" w:name="_Toc102057749"/>
      <w:bookmarkStart w:id="79" w:name="_Toc102056250"/>
      <w:bookmarkStart w:id="80" w:name="_Toc102116184"/>
      <w:bookmarkStart w:id="81" w:name="_Toc102119885"/>
      <w:bookmarkStart w:id="82" w:name="_Toc102114952"/>
      <w:bookmarkStart w:id="83" w:name="_Toc102116054"/>
      <w:bookmarkStart w:id="84" w:name="_Toc102057750"/>
      <w:r>
        <w:rPr>
          <w:rFonts w:hint="eastAsia" w:ascii="等线 Light" w:hAnsi="等线 Light" w:eastAsia="宋体" w:cs="Times New Roman"/>
          <w:b/>
          <w:bCs/>
          <w:kern w:val="2"/>
          <w:sz w:val="24"/>
          <w:szCs w:val="24"/>
          <w:lang w:val="en-US" w:eastAsia="zh-CN" w:bidi="ar-SA"/>
        </w:rPr>
        <w:t>6.计分办法</w:t>
      </w:r>
      <w:bookmarkEnd w:id="73"/>
      <w:bookmarkEnd w:id="74"/>
      <w:bookmarkEnd w:id="75"/>
      <w:bookmarkEnd w:id="76"/>
      <w:bookmarkEnd w:id="77"/>
      <w:bookmarkEnd w:id="78"/>
      <w:r>
        <w:rPr>
          <w:rFonts w:hint="eastAsia" w:ascii="等线 Light" w:hAnsi="等线 Light" w:eastAsia="宋体" w:cs="Times New Roman"/>
          <w:b/>
          <w:bCs/>
          <w:kern w:val="2"/>
          <w:sz w:val="24"/>
          <w:szCs w:val="24"/>
          <w:lang w:val="en-US" w:eastAsia="zh-CN" w:bidi="ar-SA"/>
        </w:rPr>
        <w:t>及复核</w:t>
      </w:r>
    </w:p>
    <w:p w14:paraId="08B8CEC0">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0"/>
          <w:sz w:val="22"/>
          <w:szCs w:val="21"/>
          <w:lang w:val="zh-CN" w:eastAsia="zh-CN" w:bidi="ar-SA"/>
        </w:rPr>
      </w:pPr>
      <w:r>
        <w:rPr>
          <w:rFonts w:hint="eastAsia" w:ascii="宋体" w:hAnsi="宋体" w:eastAsia="宋体" w:cs="Times New Roman"/>
          <w:kern w:val="2"/>
          <w:sz w:val="22"/>
          <w:szCs w:val="21"/>
          <w:lang w:val="zh-CN" w:eastAsia="zh-CN" w:bidi="ar-SA"/>
        </w:rPr>
        <w:t>6</w:t>
      </w:r>
      <w:r>
        <w:rPr>
          <w:rFonts w:ascii="宋体" w:hAnsi="宋体" w:eastAsia="宋体" w:cs="Times New Roman"/>
          <w:kern w:val="2"/>
          <w:sz w:val="22"/>
          <w:szCs w:val="21"/>
          <w:lang w:val="zh-CN" w:eastAsia="zh-CN" w:bidi="ar-SA"/>
        </w:rPr>
        <w:t>.1</w:t>
      </w:r>
      <w:r>
        <w:rPr>
          <w:rFonts w:hint="eastAsia" w:ascii="宋体" w:hAnsi="宋体" w:eastAsia="宋体" w:cs="Times New Roman"/>
          <w:kern w:val="2"/>
          <w:sz w:val="22"/>
          <w:szCs w:val="21"/>
          <w:lang w:val="zh-CN" w:eastAsia="zh-CN" w:bidi="ar-SA"/>
        </w:rPr>
        <w:t>评审过程中，各项分值一般精确到小数点后两位，评审得分应当为商务评分、技术评分、报价评分之和。磋商小组各成员应当汇总每个供应商的得分。</w:t>
      </w:r>
    </w:p>
    <w:p w14:paraId="46C407F8">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6</w:t>
      </w:r>
      <w:r>
        <w:rPr>
          <w:rFonts w:ascii="宋体" w:hAnsi="宋体" w:eastAsia="宋体" w:cs="Times New Roman"/>
          <w:kern w:val="2"/>
          <w:sz w:val="22"/>
          <w:szCs w:val="21"/>
          <w:lang w:val="zh-CN" w:eastAsia="zh-CN" w:bidi="ar-SA"/>
        </w:rPr>
        <w:t>.2</w:t>
      </w:r>
      <w:r>
        <w:rPr>
          <w:rFonts w:hint="eastAsia" w:ascii="宋体" w:hAnsi="宋体" w:eastAsia="宋体" w:cs="Times New Roman"/>
          <w:kern w:val="2"/>
          <w:sz w:val="22"/>
          <w:szCs w:val="21"/>
          <w:lang w:val="zh-CN" w:eastAsia="zh-CN" w:bidi="ar-SA"/>
        </w:rPr>
        <w:t>评审结果汇总完成后，采购代理机构应当对评审结果进行复核。经复核发现存在以下情形之一的，磋商小组应当当场修改评审结果，并在评审报告中记载：</w:t>
      </w:r>
    </w:p>
    <w:p w14:paraId="54C8A221">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18"/>
          <w:lang w:val="zh-CN" w:eastAsia="zh-CN" w:bidi="ar-SA"/>
        </w:rPr>
      </w:pPr>
      <w:r>
        <w:rPr>
          <w:rFonts w:hint="eastAsia" w:ascii="宋体" w:hAnsi="宋体" w:eastAsia="宋体" w:cs="Times New Roman"/>
          <w:kern w:val="2"/>
          <w:sz w:val="22"/>
          <w:szCs w:val="21"/>
          <w:lang w:val="zh-CN" w:eastAsia="zh-CN" w:bidi="ar-SA"/>
        </w:rPr>
        <w:t xml:space="preserve">（1）分值汇总计算错误的； </w:t>
      </w:r>
    </w:p>
    <w:p w14:paraId="753A8B7E">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（2）分项评分超出评分标准范围的；</w:t>
      </w:r>
    </w:p>
    <w:p w14:paraId="73FC2920">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（3）</w:t>
      </w:r>
      <w:r>
        <w:rPr>
          <w:rFonts w:hint="eastAsia" w:ascii="宋体" w:hAnsi="宋体" w:eastAsia="宋体" w:cs="Helvetica"/>
          <w:kern w:val="2"/>
          <w:sz w:val="22"/>
          <w:szCs w:val="22"/>
          <w:lang w:val="zh-CN" w:eastAsia="zh-CN" w:bidi="ar-SA"/>
        </w:rPr>
        <w:t>磋商小组</w:t>
      </w:r>
      <w:r>
        <w:rPr>
          <w:rFonts w:hint="eastAsia" w:ascii="宋体" w:hAnsi="宋体" w:eastAsia="宋体" w:cs="Times New Roman"/>
          <w:kern w:val="2"/>
          <w:sz w:val="22"/>
          <w:szCs w:val="21"/>
          <w:lang w:val="zh-CN" w:eastAsia="zh-CN" w:bidi="ar-SA"/>
        </w:rPr>
        <w:t>成员对客观评审因素评分不一致的；</w:t>
      </w:r>
    </w:p>
    <w:p w14:paraId="584573F0">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（4）经</w:t>
      </w:r>
      <w:r>
        <w:rPr>
          <w:rFonts w:hint="eastAsia" w:ascii="宋体" w:hAnsi="宋体" w:eastAsia="宋体" w:cs="Helvetica"/>
          <w:kern w:val="2"/>
          <w:sz w:val="22"/>
          <w:szCs w:val="22"/>
          <w:lang w:val="zh-CN" w:eastAsia="zh-CN" w:bidi="ar-SA"/>
        </w:rPr>
        <w:t>磋商小组</w:t>
      </w:r>
      <w:r>
        <w:rPr>
          <w:rFonts w:hint="eastAsia" w:ascii="宋体" w:hAnsi="宋体" w:eastAsia="宋体" w:cs="Times New Roman"/>
          <w:kern w:val="2"/>
          <w:sz w:val="22"/>
          <w:szCs w:val="21"/>
          <w:lang w:val="zh-CN" w:eastAsia="zh-CN" w:bidi="ar-SA"/>
        </w:rPr>
        <w:t>认定评分畸高、畸低的。</w:t>
      </w:r>
    </w:p>
    <w:p w14:paraId="028AAE79">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b/>
          <w:kern w:val="2"/>
          <w:sz w:val="22"/>
          <w:szCs w:val="21"/>
          <w:lang w:val="zh-CN" w:eastAsia="zh-CN" w:bidi="ar-SA"/>
        </w:rPr>
      </w:pPr>
      <w:r>
        <w:rPr>
          <w:rFonts w:hint="eastAsia" w:ascii="宋体" w:hAnsi="宋体" w:eastAsia="宋体" w:cs="Times New Roman"/>
          <w:kern w:val="2"/>
          <w:sz w:val="22"/>
          <w:szCs w:val="21"/>
          <w:lang w:val="zh-CN" w:eastAsia="zh-CN" w:bidi="ar-SA"/>
        </w:rPr>
        <w:t>6</w:t>
      </w:r>
      <w:r>
        <w:rPr>
          <w:rFonts w:ascii="宋体" w:hAnsi="宋体" w:eastAsia="宋体" w:cs="Times New Roman"/>
          <w:kern w:val="2"/>
          <w:sz w:val="22"/>
          <w:szCs w:val="21"/>
          <w:lang w:val="zh-CN" w:eastAsia="zh-CN" w:bidi="ar-SA"/>
        </w:rPr>
        <w:t>.3</w:t>
      </w:r>
      <w:r>
        <w:rPr>
          <w:rFonts w:hint="eastAsia" w:ascii="宋体" w:hAnsi="宋体" w:eastAsia="宋体" w:cs="Times New Roman"/>
          <w:kern w:val="2"/>
          <w:sz w:val="22"/>
          <w:szCs w:val="21"/>
          <w:lang w:val="zh-CN" w:eastAsia="zh-CN" w:bidi="ar-SA"/>
        </w:rPr>
        <w:t>各供应商的最终得分为磋商小组所有成员对各供应商评审得分汇总后的算术平均值。</w:t>
      </w:r>
    </w:p>
    <w:p w14:paraId="15C221C2">
      <w:pPr>
        <w:keepNext/>
        <w:keepLines/>
        <w:pageBreakBefore w:val="0"/>
        <w:widowControl w:val="0"/>
        <w:numPr>
          <w:ilvl w:val="0"/>
          <w:numId w:val="0"/>
        </w:numPr>
        <w:kinsoku/>
        <w:overflowPunct/>
        <w:topLinePunct w:val="0"/>
        <w:autoSpaceDE/>
        <w:autoSpaceDN/>
        <w:bidi w:val="0"/>
        <w:spacing w:before="0" w:after="0" w:line="376" w:lineRule="auto"/>
        <w:ind w:leftChars="0"/>
        <w:textAlignment w:val="auto"/>
        <w:outlineLvl w:val="3"/>
        <w:rPr>
          <w:rFonts w:ascii="等线 Light" w:hAnsi="等线 Light" w:eastAsia="宋体" w:cs="Times New Roman"/>
          <w:b/>
          <w:bCs/>
          <w:kern w:val="2"/>
          <w:sz w:val="24"/>
          <w:szCs w:val="24"/>
          <w:lang w:val="en-US" w:eastAsia="zh-CN" w:bidi="ar-SA"/>
        </w:rPr>
      </w:pPr>
      <w:r>
        <w:rPr>
          <w:rFonts w:hint="eastAsia" w:ascii="等线 Light" w:hAnsi="等线 Light" w:eastAsia="宋体" w:cs="Times New Roman"/>
          <w:b/>
          <w:bCs/>
          <w:kern w:val="2"/>
          <w:sz w:val="24"/>
          <w:szCs w:val="24"/>
          <w:lang w:val="en-US" w:eastAsia="zh-CN" w:bidi="ar-SA"/>
        </w:rPr>
        <w:t>7.相同品牌处理原则</w:t>
      </w:r>
    </w:p>
    <w:p w14:paraId="0E2962C3">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strike/>
          <w:kern w:val="2"/>
          <w:sz w:val="22"/>
          <w:szCs w:val="21"/>
          <w:lang w:val="zh-CN" w:eastAsia="zh-CN" w:bidi="ar-SA"/>
        </w:rPr>
      </w:pPr>
      <w:r>
        <w:rPr>
          <w:rFonts w:ascii="宋体" w:hAnsi="宋体" w:eastAsia="宋体" w:cs="Times New Roman"/>
          <w:kern w:val="2"/>
          <w:sz w:val="22"/>
          <w:szCs w:val="21"/>
          <w:lang w:val="zh-CN" w:eastAsia="zh-CN" w:bidi="ar-SA"/>
        </w:rPr>
        <w:t>7.1</w:t>
      </w:r>
      <w:r>
        <w:rPr>
          <w:rFonts w:hint="eastAsia" w:ascii="宋体" w:hAnsi="宋体" w:eastAsia="宋体" w:cs="Times New Roman"/>
          <w:kern w:val="2"/>
          <w:sz w:val="22"/>
          <w:szCs w:val="21"/>
          <w:lang w:val="zh-CN" w:eastAsia="zh-CN" w:bidi="ar-SA"/>
        </w:rPr>
        <w:t>单一产品采购（或非单一产品采购中的核心产品），</w:t>
      </w:r>
      <w:r>
        <w:rPr>
          <w:rFonts w:ascii="宋体" w:hAnsi="宋体" w:eastAsia="宋体" w:cs="Times New Roman"/>
          <w:kern w:val="2"/>
          <w:sz w:val="22"/>
          <w:szCs w:val="21"/>
          <w:lang w:val="zh-CN" w:eastAsia="zh-CN" w:bidi="ar-SA"/>
        </w:rPr>
        <w:t>提供相同品牌产品的</w:t>
      </w:r>
      <w:r>
        <w:rPr>
          <w:rFonts w:hint="eastAsia" w:ascii="宋体" w:hAnsi="宋体" w:eastAsia="宋体" w:cs="Times New Roman"/>
          <w:kern w:val="2"/>
          <w:sz w:val="22"/>
          <w:szCs w:val="21"/>
          <w:lang w:val="zh-CN" w:eastAsia="zh-CN" w:bidi="ar-SA"/>
        </w:rPr>
        <w:t>且通过</w:t>
      </w:r>
      <w:r>
        <w:rPr>
          <w:rFonts w:hint="eastAsia" w:ascii="宋体" w:hAnsi="宋体" w:eastAsia="宋体" w:cs="Times New Roman"/>
          <w:bCs/>
          <w:kern w:val="2"/>
          <w:sz w:val="22"/>
          <w:szCs w:val="21"/>
          <w:lang w:val="en-US" w:eastAsia="zh-CN" w:bidi="ar-SA"/>
        </w:rPr>
        <w:t>资格性和符合性审查的</w:t>
      </w:r>
      <w:r>
        <w:rPr>
          <w:rFonts w:ascii="宋体" w:hAnsi="宋体" w:eastAsia="宋体" w:cs="Times New Roman"/>
          <w:kern w:val="2"/>
          <w:sz w:val="22"/>
          <w:szCs w:val="21"/>
          <w:lang w:val="zh-CN" w:eastAsia="zh-CN" w:bidi="ar-SA"/>
        </w:rPr>
        <w:t>不同供应商参加同一合同项下磋商的，</w:t>
      </w:r>
      <w:r>
        <w:rPr>
          <w:rFonts w:hint="eastAsia" w:ascii="宋体" w:hAnsi="宋体" w:eastAsia="宋体" w:cs="Times New Roman"/>
          <w:kern w:val="2"/>
          <w:sz w:val="22"/>
          <w:szCs w:val="21"/>
          <w:lang w:val="zh-CN" w:eastAsia="zh-CN" w:bidi="ar-SA"/>
        </w:rPr>
        <w:t>按</w:t>
      </w:r>
      <w:r>
        <w:rPr>
          <w:rFonts w:ascii="宋体" w:hAnsi="宋体" w:eastAsia="宋体" w:cs="Times New Roman"/>
          <w:kern w:val="2"/>
          <w:sz w:val="22"/>
          <w:szCs w:val="21"/>
          <w:lang w:val="zh-CN" w:eastAsia="zh-CN" w:bidi="ar-SA"/>
        </w:rPr>
        <w:t>一家供应商计算，</w:t>
      </w:r>
      <w:r>
        <w:rPr>
          <w:rFonts w:hint="eastAsia" w:ascii="宋体" w:hAnsi="宋体" w:eastAsia="宋体" w:cs="Times New Roman"/>
          <w:kern w:val="2"/>
          <w:sz w:val="22"/>
          <w:szCs w:val="21"/>
          <w:lang w:val="zh-CN" w:eastAsia="zh-CN" w:bidi="ar-SA"/>
        </w:rPr>
        <w:t>评审</w:t>
      </w:r>
      <w:r>
        <w:rPr>
          <w:rFonts w:ascii="宋体" w:hAnsi="宋体" w:eastAsia="宋体" w:cs="Times New Roman"/>
          <w:kern w:val="2"/>
          <w:sz w:val="22"/>
          <w:szCs w:val="21"/>
          <w:lang w:val="zh-CN" w:eastAsia="zh-CN" w:bidi="ar-SA"/>
        </w:rPr>
        <w:t>后得分</w:t>
      </w:r>
      <w:r>
        <w:rPr>
          <w:rFonts w:hint="eastAsia" w:ascii="宋体" w:hAnsi="宋体" w:eastAsia="宋体" w:cs="Times New Roman"/>
          <w:kern w:val="2"/>
          <w:sz w:val="22"/>
          <w:szCs w:val="21"/>
          <w:lang w:val="zh-CN" w:eastAsia="zh-CN" w:bidi="ar-SA"/>
        </w:rPr>
        <w:t>最</w:t>
      </w:r>
      <w:r>
        <w:rPr>
          <w:rFonts w:ascii="宋体" w:hAnsi="宋体" w:eastAsia="宋体" w:cs="Times New Roman"/>
          <w:kern w:val="2"/>
          <w:sz w:val="22"/>
          <w:szCs w:val="21"/>
          <w:lang w:val="zh-CN" w:eastAsia="zh-CN" w:bidi="ar-SA"/>
        </w:rPr>
        <w:t>高的同品牌供应商获得成交</w:t>
      </w:r>
      <w:r>
        <w:rPr>
          <w:rFonts w:hint="eastAsia" w:ascii="宋体" w:hAnsi="宋体" w:eastAsia="宋体" w:cs="Times New Roman"/>
          <w:kern w:val="2"/>
          <w:sz w:val="22"/>
          <w:szCs w:val="21"/>
          <w:lang w:val="zh-CN" w:eastAsia="zh-CN" w:bidi="ar-SA"/>
        </w:rPr>
        <w:t>候选</w:t>
      </w:r>
      <w:r>
        <w:rPr>
          <w:rFonts w:ascii="宋体" w:hAnsi="宋体" w:eastAsia="宋体" w:cs="Times New Roman"/>
          <w:kern w:val="2"/>
          <w:sz w:val="22"/>
          <w:szCs w:val="21"/>
          <w:lang w:val="zh-CN" w:eastAsia="zh-CN" w:bidi="ar-SA"/>
        </w:rPr>
        <w:t>供应商</w:t>
      </w:r>
      <w:r>
        <w:rPr>
          <w:rFonts w:hint="eastAsia" w:ascii="宋体" w:hAnsi="宋体" w:eastAsia="宋体" w:cs="Times New Roman"/>
          <w:kern w:val="2"/>
          <w:sz w:val="22"/>
          <w:szCs w:val="21"/>
          <w:lang w:val="zh-CN" w:eastAsia="zh-CN" w:bidi="ar-SA"/>
        </w:rPr>
        <w:t>推荐</w:t>
      </w:r>
      <w:r>
        <w:rPr>
          <w:rFonts w:ascii="宋体" w:hAnsi="宋体" w:eastAsia="宋体" w:cs="Times New Roman"/>
          <w:kern w:val="2"/>
          <w:sz w:val="22"/>
          <w:szCs w:val="21"/>
          <w:lang w:val="zh-CN" w:eastAsia="zh-CN" w:bidi="ar-SA"/>
        </w:rPr>
        <w:t>资格，</w:t>
      </w:r>
      <w:r>
        <w:rPr>
          <w:rFonts w:hint="eastAsia" w:ascii="宋体" w:hAnsi="宋体" w:eastAsia="宋体" w:cs="Times New Roman"/>
          <w:kern w:val="2"/>
          <w:sz w:val="22"/>
          <w:szCs w:val="21"/>
          <w:lang w:val="zh-CN" w:eastAsia="zh-CN" w:bidi="ar-SA"/>
        </w:rPr>
        <w:t>评审得分</w:t>
      </w:r>
      <w:r>
        <w:rPr>
          <w:rFonts w:ascii="宋体" w:hAnsi="宋体" w:eastAsia="宋体" w:cs="Times New Roman"/>
          <w:kern w:val="2"/>
          <w:sz w:val="22"/>
          <w:szCs w:val="21"/>
          <w:lang w:val="zh-CN" w:eastAsia="zh-CN" w:bidi="ar-SA"/>
        </w:rPr>
        <w:t>相同的</w:t>
      </w:r>
      <w:r>
        <w:rPr>
          <w:rFonts w:hint="eastAsia" w:ascii="宋体" w:hAnsi="宋体" w:eastAsia="宋体" w:cs="Times New Roman"/>
          <w:kern w:val="2"/>
          <w:sz w:val="22"/>
          <w:szCs w:val="21"/>
          <w:lang w:val="zh-CN" w:eastAsia="zh-CN" w:bidi="ar-SA"/>
        </w:rPr>
        <w:t>，由采购人确定或者采购人委托磋商小组以投票方式确定一家</w:t>
      </w:r>
      <w:r>
        <w:rPr>
          <w:rFonts w:ascii="宋体" w:hAnsi="宋体" w:eastAsia="宋体" w:cs="Times New Roman"/>
          <w:kern w:val="2"/>
          <w:sz w:val="22"/>
          <w:szCs w:val="21"/>
          <w:lang w:val="zh-CN" w:eastAsia="zh-CN" w:bidi="ar-SA"/>
        </w:rPr>
        <w:t>供应商</w:t>
      </w:r>
      <w:r>
        <w:rPr>
          <w:rFonts w:hint="eastAsia" w:ascii="宋体" w:hAnsi="宋体" w:eastAsia="宋体" w:cs="Times New Roman"/>
          <w:kern w:val="2"/>
          <w:sz w:val="22"/>
          <w:szCs w:val="21"/>
          <w:lang w:val="zh-CN" w:eastAsia="zh-CN" w:bidi="ar-SA"/>
        </w:rPr>
        <w:t>获得成交候选供应商推荐资格，其它同品牌供应商不作为成交候选供应商。</w:t>
      </w:r>
    </w:p>
    <w:p w14:paraId="1B782FCE">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7</w:t>
      </w:r>
      <w:r>
        <w:rPr>
          <w:rFonts w:ascii="宋体" w:hAnsi="宋体" w:eastAsia="宋体" w:cs="Times New Roman"/>
          <w:kern w:val="2"/>
          <w:sz w:val="22"/>
          <w:szCs w:val="21"/>
          <w:lang w:val="zh-CN" w:eastAsia="zh-CN" w:bidi="ar-SA"/>
        </w:rPr>
        <w:t>.2</w:t>
      </w:r>
      <w:r>
        <w:rPr>
          <w:rFonts w:hint="eastAsia" w:ascii="宋体" w:hAnsi="宋体" w:eastAsia="宋体" w:cs="Times New Roman"/>
          <w:kern w:val="2"/>
          <w:sz w:val="22"/>
          <w:szCs w:val="21"/>
          <w:lang w:val="zh-CN" w:eastAsia="zh-CN" w:bidi="ar-SA"/>
        </w:rPr>
        <w:t>非单一产品采购项目，采购人应当根据采购项目技术构成、产品价格比重等合理确定一个核心产品（采购清单中作“与核心产品相同〈或同一〉品牌”实质性要求的产品，视为一个核心产品），并以“核心产品”在竞争性磋商文件中载明，评审时按前款规定处理。</w:t>
      </w:r>
    </w:p>
    <w:p w14:paraId="52343429">
      <w:pPr>
        <w:keepNext/>
        <w:keepLines/>
        <w:pageBreakBefore w:val="0"/>
        <w:widowControl w:val="0"/>
        <w:numPr>
          <w:ilvl w:val="0"/>
          <w:numId w:val="0"/>
        </w:numPr>
        <w:kinsoku/>
        <w:overflowPunct/>
        <w:topLinePunct w:val="0"/>
        <w:autoSpaceDE/>
        <w:autoSpaceDN/>
        <w:bidi w:val="0"/>
        <w:spacing w:before="0" w:after="0" w:line="376" w:lineRule="auto"/>
        <w:ind w:leftChars="0"/>
        <w:textAlignment w:val="auto"/>
        <w:outlineLvl w:val="3"/>
        <w:rPr>
          <w:rFonts w:ascii="等线 Light" w:hAnsi="等线 Light" w:eastAsia="宋体" w:cs="Times New Roman"/>
          <w:b/>
          <w:bCs/>
          <w:kern w:val="2"/>
          <w:sz w:val="24"/>
          <w:szCs w:val="24"/>
          <w:lang w:val="en-US" w:eastAsia="zh-CN" w:bidi="ar-SA"/>
        </w:rPr>
      </w:pPr>
      <w:r>
        <w:rPr>
          <w:rFonts w:hint="eastAsia" w:ascii="等线 Light" w:hAnsi="等线 Light" w:eastAsia="宋体" w:cs="Times New Roman"/>
          <w:b/>
          <w:bCs/>
          <w:kern w:val="2"/>
          <w:sz w:val="24"/>
          <w:szCs w:val="24"/>
          <w:lang w:val="en-US" w:eastAsia="zh-CN" w:bidi="ar-SA"/>
        </w:rPr>
        <w:t>8.评审报告</w:t>
      </w:r>
      <w:bookmarkEnd w:id="79"/>
      <w:bookmarkEnd w:id="80"/>
      <w:bookmarkEnd w:id="81"/>
      <w:bookmarkEnd w:id="82"/>
      <w:bookmarkEnd w:id="83"/>
      <w:bookmarkEnd w:id="84"/>
    </w:p>
    <w:p w14:paraId="4E597514">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Helvetica"/>
          <w:kern w:val="2"/>
          <w:sz w:val="22"/>
          <w:szCs w:val="22"/>
          <w:lang w:val="zh-CN" w:eastAsia="zh-CN" w:bidi="ar-SA"/>
        </w:rPr>
      </w:pPr>
      <w:r>
        <w:rPr>
          <w:rFonts w:hint="eastAsia" w:ascii="宋体" w:hAnsi="宋体" w:eastAsia="宋体" w:cs="Helvetica"/>
          <w:kern w:val="2"/>
          <w:sz w:val="22"/>
          <w:szCs w:val="22"/>
          <w:lang w:val="zh-CN" w:eastAsia="zh-CN" w:bidi="ar-SA"/>
        </w:rPr>
        <w:t>8</w:t>
      </w:r>
      <w:r>
        <w:rPr>
          <w:rFonts w:ascii="宋体" w:hAnsi="宋体" w:eastAsia="宋体" w:cs="Helvetica"/>
          <w:kern w:val="2"/>
          <w:sz w:val="22"/>
          <w:szCs w:val="22"/>
          <w:lang w:val="zh-CN" w:eastAsia="zh-CN" w:bidi="ar-SA"/>
        </w:rPr>
        <w:t>.1</w:t>
      </w:r>
      <w:r>
        <w:rPr>
          <w:rFonts w:hint="eastAsia" w:ascii="宋体" w:hAnsi="宋体" w:eastAsia="宋体" w:cs="Helvetica"/>
          <w:kern w:val="2"/>
          <w:sz w:val="22"/>
          <w:szCs w:val="22"/>
          <w:lang w:val="zh-CN" w:eastAsia="zh-CN" w:bidi="ar-SA"/>
        </w:rPr>
        <w:t>磋商小组</w:t>
      </w:r>
      <w:r>
        <w:rPr>
          <w:rFonts w:hint="eastAsia" w:ascii="宋体" w:hAnsi="宋体" w:eastAsia="宋体" w:cs="Times New Roman"/>
          <w:kern w:val="2"/>
          <w:sz w:val="22"/>
          <w:szCs w:val="21"/>
          <w:lang w:val="en-US" w:eastAsia="zh-CN" w:bidi="ar-SA"/>
        </w:rPr>
        <w:t>从质量和服务均能满足磋商文件实质性要求的供应商中，按照综合得分由高到低的顺序推荐3名</w:t>
      </w:r>
      <w:r>
        <w:rPr>
          <w:rFonts w:hint="eastAsia" w:ascii="宋体" w:hAnsi="宋体" w:eastAsia="宋体" w:cs="Times New Roman"/>
          <w:kern w:val="2"/>
          <w:sz w:val="22"/>
          <w:szCs w:val="22"/>
          <w:lang w:val="zh-CN" w:eastAsia="zh-CN" w:bidi="ar-SA"/>
        </w:rPr>
        <w:t>（</w:t>
      </w:r>
      <w:r>
        <w:rPr>
          <w:rFonts w:hint="eastAsia" w:ascii="宋体" w:hAnsi="宋体" w:eastAsia="宋体" w:cs="Times New Roman"/>
          <w:kern w:val="2"/>
          <w:sz w:val="22"/>
          <w:szCs w:val="21"/>
          <w:lang w:val="en-US" w:eastAsia="zh-CN" w:bidi="ar-SA"/>
        </w:rPr>
        <w:t>市场竞争不充分的科研项目，以及需要扶持的科技成果转化项目可以为</w:t>
      </w:r>
      <w:r>
        <w:rPr>
          <w:rFonts w:ascii="宋体" w:hAnsi="宋体" w:eastAsia="宋体" w:cs="Times New Roman"/>
          <w:kern w:val="2"/>
          <w:sz w:val="22"/>
          <w:szCs w:val="21"/>
          <w:lang w:val="en-US" w:eastAsia="zh-CN" w:bidi="ar-SA"/>
        </w:rPr>
        <w:t>2家</w:t>
      </w:r>
      <w:r>
        <w:rPr>
          <w:rFonts w:hint="eastAsia" w:ascii="宋体" w:hAnsi="宋体" w:eastAsia="宋体" w:cs="Times New Roman"/>
          <w:kern w:val="2"/>
          <w:sz w:val="22"/>
          <w:szCs w:val="21"/>
          <w:lang w:val="en-US" w:eastAsia="zh-CN" w:bidi="ar-SA"/>
        </w:rPr>
        <w:t>，</w:t>
      </w:r>
      <w:r>
        <w:rPr>
          <w:rFonts w:hint="eastAsia" w:ascii="宋体" w:hAnsi="宋体" w:eastAsia="宋体" w:cs="Times New Roman"/>
          <w:snapToGrid w:val="0"/>
          <w:kern w:val="2"/>
          <w:sz w:val="22"/>
          <w:szCs w:val="21"/>
          <w:lang w:val="en-US" w:eastAsia="zh-CN" w:bidi="ar-SA"/>
        </w:rPr>
        <w:t>政府购买服务项目[含政府和社会资本合作项目]，在采购过程中符合要求的供应商[社会资本]只有2家的</w:t>
      </w:r>
      <w:r>
        <w:rPr>
          <w:rFonts w:hint="eastAsia" w:ascii="宋体" w:hAnsi="宋体" w:eastAsia="宋体" w:cs="Times New Roman"/>
          <w:kern w:val="2"/>
          <w:sz w:val="22"/>
          <w:szCs w:val="21"/>
          <w:lang w:val="en-US" w:eastAsia="zh-CN" w:bidi="ar-SA"/>
        </w:rPr>
        <w:t>可以为</w:t>
      </w:r>
      <w:r>
        <w:rPr>
          <w:rFonts w:ascii="宋体" w:hAnsi="宋体" w:eastAsia="宋体" w:cs="Times New Roman"/>
          <w:kern w:val="2"/>
          <w:sz w:val="22"/>
          <w:szCs w:val="21"/>
          <w:lang w:val="en-US" w:eastAsia="zh-CN" w:bidi="ar-SA"/>
        </w:rPr>
        <w:t>2家</w:t>
      </w:r>
      <w:r>
        <w:rPr>
          <w:rFonts w:ascii="宋体" w:hAnsi="宋体" w:eastAsia="宋体" w:cs="Times New Roman"/>
          <w:kern w:val="2"/>
          <w:sz w:val="22"/>
          <w:szCs w:val="22"/>
          <w:lang w:val="zh-CN" w:eastAsia="zh-CN" w:bidi="ar-SA"/>
        </w:rPr>
        <w:t>）</w:t>
      </w:r>
      <w:r>
        <w:rPr>
          <w:rFonts w:hint="eastAsia" w:ascii="宋体" w:hAnsi="宋体" w:eastAsia="宋体" w:cs="Times New Roman"/>
          <w:kern w:val="2"/>
          <w:sz w:val="22"/>
          <w:szCs w:val="21"/>
          <w:lang w:val="en-US" w:eastAsia="zh-CN" w:bidi="ar-SA"/>
        </w:rPr>
        <w:t>以上</w:t>
      </w:r>
      <w:r>
        <w:rPr>
          <w:rFonts w:hint="eastAsia" w:ascii="宋体" w:hAnsi="宋体" w:eastAsia="宋体" w:cs="Helvetica"/>
          <w:kern w:val="2"/>
          <w:sz w:val="22"/>
          <w:szCs w:val="22"/>
          <w:lang w:val="zh-CN" w:eastAsia="zh-CN" w:bidi="ar-SA"/>
        </w:rPr>
        <w:t>成交</w:t>
      </w:r>
      <w:r>
        <w:rPr>
          <w:rFonts w:hint="eastAsia" w:ascii="宋体" w:hAnsi="宋体" w:eastAsia="宋体" w:cs="Times New Roman"/>
          <w:kern w:val="2"/>
          <w:sz w:val="22"/>
          <w:szCs w:val="21"/>
          <w:lang w:val="en-US" w:eastAsia="zh-CN" w:bidi="ar-SA"/>
        </w:rPr>
        <w:t>候选供应商。评审得</w:t>
      </w:r>
      <w:r>
        <w:rPr>
          <w:rFonts w:ascii="宋体" w:hAnsi="宋体" w:eastAsia="宋体" w:cs="Times New Roman"/>
          <w:kern w:val="2"/>
          <w:sz w:val="22"/>
          <w:szCs w:val="21"/>
          <w:lang w:val="en-US" w:eastAsia="zh-CN" w:bidi="ar-SA"/>
        </w:rPr>
        <w:t>分相同的，</w:t>
      </w:r>
      <w:r>
        <w:rPr>
          <w:rFonts w:hint="eastAsia" w:ascii="宋体" w:hAnsi="宋体" w:eastAsia="宋体" w:cs="Helvetica"/>
          <w:kern w:val="2"/>
          <w:sz w:val="22"/>
          <w:szCs w:val="22"/>
          <w:lang w:val="zh-CN" w:eastAsia="zh-CN" w:bidi="ar-SA"/>
        </w:rPr>
        <w:t>磋商小组</w:t>
      </w:r>
      <w:r>
        <w:rPr>
          <w:rFonts w:hint="eastAsia" w:ascii="宋体" w:hAnsi="宋体" w:eastAsia="宋体" w:cs="Times New Roman"/>
          <w:kern w:val="2"/>
          <w:sz w:val="22"/>
          <w:szCs w:val="21"/>
          <w:lang w:val="en-US" w:eastAsia="zh-CN" w:bidi="ar-SA"/>
        </w:rPr>
        <w:t>按照最后报价由低到高的顺序</w:t>
      </w:r>
      <w:r>
        <w:rPr>
          <w:rFonts w:ascii="宋体" w:hAnsi="宋体" w:eastAsia="宋体" w:cs="Times New Roman"/>
          <w:kern w:val="2"/>
          <w:sz w:val="22"/>
          <w:szCs w:val="21"/>
          <w:lang w:val="en-US" w:eastAsia="zh-CN" w:bidi="ar-SA"/>
        </w:rPr>
        <w:t>推荐</w:t>
      </w:r>
      <w:r>
        <w:rPr>
          <w:rFonts w:hint="eastAsia" w:ascii="宋体" w:hAnsi="宋体" w:eastAsia="宋体" w:cs="Times New Roman"/>
          <w:kern w:val="2"/>
          <w:sz w:val="22"/>
          <w:szCs w:val="21"/>
          <w:lang w:val="en-US" w:eastAsia="zh-CN" w:bidi="ar-SA"/>
        </w:rPr>
        <w:t>；得分相同且最后报价相同的，按技术优劣顺序推荐</w:t>
      </w:r>
      <w:r>
        <w:rPr>
          <w:rFonts w:hint="eastAsia" w:ascii="宋体" w:hAnsi="宋体" w:eastAsia="宋体" w:cs="Helvetica"/>
          <w:kern w:val="2"/>
          <w:sz w:val="22"/>
          <w:szCs w:val="22"/>
          <w:lang w:val="zh-CN" w:eastAsia="zh-CN" w:bidi="ar-SA"/>
        </w:rPr>
        <w:t>。响应文件满足磋商文件全部实质性要求且评审得分</w:t>
      </w:r>
      <w:r>
        <w:rPr>
          <w:rFonts w:ascii="宋体" w:hAnsi="宋体" w:eastAsia="宋体" w:cs="Helvetica"/>
          <w:kern w:val="2"/>
          <w:sz w:val="22"/>
          <w:szCs w:val="22"/>
          <w:lang w:val="zh-CN" w:eastAsia="zh-CN" w:bidi="ar-SA"/>
        </w:rPr>
        <w:t>最高</w:t>
      </w:r>
      <w:r>
        <w:rPr>
          <w:rFonts w:hint="eastAsia" w:ascii="宋体" w:hAnsi="宋体" w:eastAsia="宋体" w:cs="Helvetica"/>
          <w:kern w:val="2"/>
          <w:sz w:val="22"/>
          <w:szCs w:val="22"/>
          <w:lang w:val="zh-CN" w:eastAsia="zh-CN" w:bidi="ar-SA"/>
        </w:rPr>
        <w:t>的供应商为排名第一的成交候选供应商。</w:t>
      </w:r>
    </w:p>
    <w:p w14:paraId="2A7C25D3">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Helvetica"/>
          <w:kern w:val="2"/>
          <w:sz w:val="22"/>
          <w:szCs w:val="22"/>
          <w:lang w:val="zh-CN" w:eastAsia="zh-CN" w:bidi="ar-SA"/>
        </w:rPr>
      </w:pPr>
      <w:r>
        <w:rPr>
          <w:rFonts w:hint="eastAsia" w:ascii="宋体" w:hAnsi="宋体" w:eastAsia="宋体" w:cs="Times New Roman"/>
          <w:kern w:val="2"/>
          <w:sz w:val="22"/>
          <w:szCs w:val="21"/>
          <w:lang w:val="en-US" w:eastAsia="zh-CN" w:bidi="ar-SA"/>
        </w:rPr>
        <w:t>8</w:t>
      </w:r>
      <w:r>
        <w:rPr>
          <w:rFonts w:ascii="宋体" w:hAnsi="宋体" w:eastAsia="宋体" w:cs="Times New Roman"/>
          <w:kern w:val="2"/>
          <w:sz w:val="22"/>
          <w:szCs w:val="21"/>
          <w:lang w:val="en-US" w:eastAsia="zh-CN" w:bidi="ar-SA"/>
        </w:rPr>
        <w:t>.2</w:t>
      </w:r>
      <w:r>
        <w:rPr>
          <w:rFonts w:hint="eastAsia" w:ascii="宋体" w:hAnsi="宋体" w:eastAsia="宋体" w:cs="Times New Roman"/>
          <w:kern w:val="2"/>
          <w:sz w:val="22"/>
          <w:szCs w:val="21"/>
          <w:lang w:val="en-US" w:eastAsia="zh-CN" w:bidi="ar-SA"/>
        </w:rPr>
        <w:t>磋商小组依据评审结果，按评审得分</w:t>
      </w:r>
      <w:r>
        <w:rPr>
          <w:rFonts w:ascii="宋体" w:hAnsi="宋体" w:eastAsia="宋体" w:cs="Times New Roman"/>
          <w:kern w:val="2"/>
          <w:sz w:val="22"/>
          <w:szCs w:val="21"/>
          <w:lang w:val="en-US" w:eastAsia="zh-CN" w:bidi="ar-SA"/>
        </w:rPr>
        <w:t>由</w:t>
      </w:r>
      <w:r>
        <w:rPr>
          <w:rFonts w:hint="eastAsia" w:ascii="宋体" w:hAnsi="宋体" w:eastAsia="宋体" w:cs="Times New Roman"/>
          <w:kern w:val="2"/>
          <w:sz w:val="22"/>
          <w:szCs w:val="21"/>
          <w:lang w:val="en-US" w:eastAsia="zh-CN" w:bidi="ar-SA"/>
        </w:rPr>
        <w:t>高至</w:t>
      </w:r>
      <w:r>
        <w:rPr>
          <w:rFonts w:ascii="宋体" w:hAnsi="宋体" w:eastAsia="宋体" w:cs="Times New Roman"/>
          <w:kern w:val="2"/>
          <w:sz w:val="22"/>
          <w:szCs w:val="21"/>
          <w:lang w:val="en-US" w:eastAsia="zh-CN" w:bidi="ar-SA"/>
        </w:rPr>
        <w:t>低</w:t>
      </w:r>
      <w:r>
        <w:rPr>
          <w:rFonts w:hint="eastAsia" w:ascii="宋体" w:hAnsi="宋体" w:eastAsia="宋体" w:cs="Times New Roman"/>
          <w:kern w:val="2"/>
          <w:sz w:val="22"/>
          <w:szCs w:val="21"/>
          <w:lang w:val="en-US" w:eastAsia="zh-CN" w:bidi="ar-SA"/>
        </w:rPr>
        <w:t>的顺序向采购人推荐</w:t>
      </w:r>
      <w:r>
        <w:rPr>
          <w:rFonts w:ascii="宋体" w:hAnsi="宋体" w:eastAsia="宋体" w:cs="Times New Roman"/>
          <w:kern w:val="2"/>
          <w:sz w:val="22"/>
          <w:szCs w:val="21"/>
          <w:lang w:val="en-US" w:eastAsia="zh-CN" w:bidi="ar-SA"/>
        </w:rPr>
        <w:t>3家</w:t>
      </w:r>
      <w:r>
        <w:rPr>
          <w:rFonts w:hint="eastAsia" w:ascii="宋体" w:hAnsi="宋体" w:eastAsia="宋体" w:cs="Times New Roman"/>
          <w:kern w:val="2"/>
          <w:sz w:val="22"/>
          <w:szCs w:val="21"/>
          <w:lang w:val="en-US" w:eastAsia="zh-CN" w:bidi="ar-SA"/>
        </w:rPr>
        <w:t>（市场竞争不充分的科研项目，以及需要扶持的科技成果转化项目可以为</w:t>
      </w:r>
      <w:r>
        <w:rPr>
          <w:rFonts w:ascii="宋体" w:hAnsi="宋体" w:eastAsia="宋体" w:cs="Times New Roman"/>
          <w:kern w:val="2"/>
          <w:sz w:val="22"/>
          <w:szCs w:val="21"/>
          <w:lang w:val="en-US" w:eastAsia="zh-CN" w:bidi="ar-SA"/>
        </w:rPr>
        <w:t>2家</w:t>
      </w:r>
      <w:r>
        <w:rPr>
          <w:rFonts w:hint="eastAsia" w:ascii="宋体" w:hAnsi="宋体" w:eastAsia="宋体" w:cs="Times New Roman"/>
          <w:kern w:val="2"/>
          <w:sz w:val="22"/>
          <w:szCs w:val="21"/>
          <w:lang w:val="en-US" w:eastAsia="zh-CN" w:bidi="ar-SA"/>
        </w:rPr>
        <w:t>，</w:t>
      </w:r>
      <w:r>
        <w:rPr>
          <w:rFonts w:hint="eastAsia" w:ascii="宋体" w:hAnsi="宋体" w:eastAsia="宋体" w:cs="Times New Roman"/>
          <w:snapToGrid w:val="0"/>
          <w:kern w:val="2"/>
          <w:sz w:val="22"/>
          <w:szCs w:val="21"/>
          <w:lang w:val="en-US" w:eastAsia="zh-CN" w:bidi="ar-SA"/>
        </w:rPr>
        <w:t>政府购买服务项目[含政府和社会资本合作项目]，在采购过程中符合要求的供应商[社会资本]只有2家的</w:t>
      </w:r>
      <w:r>
        <w:rPr>
          <w:rFonts w:hint="eastAsia" w:ascii="宋体" w:hAnsi="宋体" w:eastAsia="宋体" w:cs="Times New Roman"/>
          <w:kern w:val="2"/>
          <w:sz w:val="22"/>
          <w:szCs w:val="21"/>
          <w:lang w:val="en-US" w:eastAsia="zh-CN" w:bidi="ar-SA"/>
        </w:rPr>
        <w:t>可以为</w:t>
      </w:r>
      <w:r>
        <w:rPr>
          <w:rFonts w:ascii="宋体" w:hAnsi="宋体" w:eastAsia="宋体" w:cs="Times New Roman"/>
          <w:kern w:val="2"/>
          <w:sz w:val="22"/>
          <w:szCs w:val="21"/>
          <w:lang w:val="en-US" w:eastAsia="zh-CN" w:bidi="ar-SA"/>
        </w:rPr>
        <w:t>2家）以上成交候选供应商名单，并形成评审报告。</w:t>
      </w:r>
    </w:p>
    <w:p w14:paraId="022E86FA">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Helvetica"/>
          <w:kern w:val="2"/>
          <w:sz w:val="22"/>
          <w:szCs w:val="22"/>
          <w:lang w:val="zh-CN" w:eastAsia="zh-CN" w:bidi="ar-SA"/>
        </w:rPr>
      </w:pPr>
      <w:r>
        <w:rPr>
          <w:rFonts w:hint="eastAsia" w:ascii="宋体" w:hAnsi="宋体" w:eastAsia="宋体" w:cs="Helvetica"/>
          <w:kern w:val="2"/>
          <w:sz w:val="22"/>
          <w:szCs w:val="22"/>
          <w:lang w:val="zh-CN" w:eastAsia="zh-CN" w:bidi="ar-SA"/>
        </w:rPr>
        <w:t>8</w:t>
      </w:r>
      <w:r>
        <w:rPr>
          <w:rFonts w:ascii="宋体" w:hAnsi="宋体" w:eastAsia="宋体" w:cs="Helvetica"/>
          <w:kern w:val="2"/>
          <w:sz w:val="22"/>
          <w:szCs w:val="22"/>
          <w:lang w:val="zh-CN" w:eastAsia="zh-CN" w:bidi="ar-SA"/>
        </w:rPr>
        <w:t>.3</w:t>
      </w:r>
      <w:r>
        <w:rPr>
          <w:rFonts w:hint="eastAsia" w:ascii="宋体" w:hAnsi="宋体" w:eastAsia="宋体" w:cs="Helvetica"/>
          <w:kern w:val="2"/>
          <w:sz w:val="22"/>
          <w:szCs w:val="22"/>
          <w:lang w:val="zh-CN" w:eastAsia="zh-CN" w:bidi="ar-SA"/>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p>
    <w:p w14:paraId="67971F74">
      <w:pPr>
        <w:keepNext/>
        <w:keepLines/>
        <w:pageBreakBefore w:val="0"/>
        <w:widowControl w:val="0"/>
        <w:numPr>
          <w:ilvl w:val="0"/>
          <w:numId w:val="0"/>
        </w:numPr>
        <w:kinsoku/>
        <w:overflowPunct/>
        <w:topLinePunct w:val="0"/>
        <w:autoSpaceDE/>
        <w:autoSpaceDN/>
        <w:bidi w:val="0"/>
        <w:spacing w:before="0" w:after="0" w:line="376" w:lineRule="auto"/>
        <w:ind w:leftChars="0"/>
        <w:textAlignment w:val="auto"/>
        <w:outlineLvl w:val="3"/>
        <w:rPr>
          <w:rFonts w:ascii="等线 Light" w:hAnsi="等线 Light" w:eastAsia="宋体" w:cs="Times New Roman"/>
          <w:b/>
          <w:bCs/>
          <w:kern w:val="2"/>
          <w:sz w:val="24"/>
          <w:szCs w:val="24"/>
          <w:lang w:val="en-US" w:eastAsia="zh-CN" w:bidi="ar-SA"/>
        </w:rPr>
      </w:pPr>
      <w:bookmarkStart w:id="85" w:name="_Toc102114919"/>
      <w:bookmarkStart w:id="86" w:name="_Toc102116151"/>
      <w:bookmarkStart w:id="87" w:name="_Toc102116021"/>
      <w:bookmarkStart w:id="88" w:name="_Toc102119852"/>
      <w:bookmarkStart w:id="89" w:name="_Toc102056217"/>
      <w:bookmarkStart w:id="90" w:name="_Toc102057717"/>
      <w:r>
        <w:rPr>
          <w:rFonts w:hint="eastAsia" w:ascii="等线 Light" w:hAnsi="等线 Light" w:eastAsia="宋体" w:cs="Times New Roman"/>
          <w:b/>
          <w:bCs/>
          <w:kern w:val="2"/>
          <w:sz w:val="24"/>
          <w:szCs w:val="24"/>
          <w:lang w:val="en-US" w:eastAsia="zh-CN" w:bidi="ar-SA"/>
        </w:rPr>
        <w:t>9.应予终止采购活动</w:t>
      </w:r>
      <w:r>
        <w:rPr>
          <w:rFonts w:ascii="等线 Light" w:hAnsi="等线 Light" w:eastAsia="宋体" w:cs="Times New Roman"/>
          <w:b/>
          <w:bCs/>
          <w:kern w:val="2"/>
          <w:sz w:val="24"/>
          <w:szCs w:val="24"/>
          <w:lang w:val="en-US" w:eastAsia="zh-CN" w:bidi="ar-SA"/>
        </w:rPr>
        <w:t>的</w:t>
      </w:r>
      <w:r>
        <w:rPr>
          <w:rFonts w:hint="eastAsia" w:ascii="等线 Light" w:hAnsi="等线 Light" w:eastAsia="宋体" w:cs="Times New Roman"/>
          <w:b/>
          <w:bCs/>
          <w:kern w:val="2"/>
          <w:sz w:val="24"/>
          <w:szCs w:val="24"/>
          <w:lang w:val="en-US" w:eastAsia="zh-CN" w:bidi="ar-SA"/>
        </w:rPr>
        <w:t>情形</w:t>
      </w:r>
      <w:bookmarkEnd w:id="85"/>
      <w:bookmarkEnd w:id="86"/>
      <w:bookmarkEnd w:id="87"/>
      <w:bookmarkEnd w:id="88"/>
      <w:bookmarkEnd w:id="89"/>
      <w:bookmarkEnd w:id="90"/>
    </w:p>
    <w:p w14:paraId="120A9C24">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9</w:t>
      </w:r>
      <w:r>
        <w:rPr>
          <w:rFonts w:ascii="宋体" w:hAnsi="宋体" w:eastAsia="宋体" w:cs="Times New Roman"/>
          <w:kern w:val="2"/>
          <w:sz w:val="22"/>
          <w:szCs w:val="21"/>
          <w:lang w:val="zh-CN" w:eastAsia="zh-CN" w:bidi="ar-SA"/>
        </w:rPr>
        <w:t>.1</w:t>
      </w:r>
      <w:r>
        <w:rPr>
          <w:rFonts w:hint="eastAsia" w:ascii="宋体" w:hAnsi="宋体" w:eastAsia="宋体" w:cs="Times New Roman"/>
          <w:kern w:val="2"/>
          <w:sz w:val="22"/>
          <w:szCs w:val="21"/>
          <w:lang w:val="zh-CN" w:eastAsia="zh-CN" w:bidi="ar-SA"/>
        </w:rPr>
        <w:t>在竞争性磋商采购过程中，出现下列情形之一的，应当终止</w:t>
      </w:r>
      <w:r>
        <w:rPr>
          <w:rFonts w:ascii="宋体" w:hAnsi="宋体" w:eastAsia="宋体" w:cs="Times New Roman"/>
          <w:kern w:val="2"/>
          <w:sz w:val="22"/>
          <w:szCs w:val="21"/>
          <w:lang w:val="zh-CN" w:eastAsia="zh-CN" w:bidi="ar-SA"/>
        </w:rPr>
        <w:t>采购</w:t>
      </w:r>
      <w:r>
        <w:rPr>
          <w:rFonts w:hint="eastAsia" w:ascii="宋体" w:hAnsi="宋体" w:eastAsia="宋体" w:cs="Times New Roman"/>
          <w:kern w:val="2"/>
          <w:sz w:val="22"/>
          <w:szCs w:val="21"/>
          <w:lang w:val="zh-CN" w:eastAsia="zh-CN" w:bidi="ar-SA"/>
        </w:rPr>
        <w:t>活动：</w:t>
      </w:r>
    </w:p>
    <w:p w14:paraId="3F233E42">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（1）因情况变化，不再符合规定的竞争性磋商采购方式适用情形的；</w:t>
      </w:r>
    </w:p>
    <w:p w14:paraId="3CBEE0DC">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（2）出现影响采购公正的违法、违规行为的；</w:t>
      </w:r>
    </w:p>
    <w:p w14:paraId="7E2871C6">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en-US" w:eastAsia="zh-CN" w:bidi="ar-SA"/>
        </w:rPr>
      </w:pPr>
      <w:r>
        <w:rPr>
          <w:rFonts w:hint="eastAsia" w:ascii="宋体" w:hAnsi="宋体" w:eastAsia="宋体" w:cs="Times New Roman"/>
          <w:kern w:val="2"/>
          <w:sz w:val="22"/>
          <w:szCs w:val="21"/>
          <w:lang w:val="en-US" w:eastAsia="zh-CN" w:bidi="ar-SA"/>
        </w:rPr>
        <w:t>（3）在采购过程中符合要求的供应商或者报价未超过采购预算的供应商不足</w:t>
      </w:r>
      <w:r>
        <w:rPr>
          <w:rFonts w:ascii="宋体" w:hAnsi="宋体" w:eastAsia="宋体" w:cs="Times New Roman"/>
          <w:kern w:val="2"/>
          <w:sz w:val="22"/>
          <w:szCs w:val="21"/>
          <w:lang w:val="en-US" w:eastAsia="zh-CN" w:bidi="ar-SA"/>
        </w:rPr>
        <w:t>3家的（市场竞争不充分的科研项目、需要扶持的科技成果转化项目以及政府购买服务项目&lt;含政府和社会资本合作项目&gt;）的</w:t>
      </w:r>
      <w:r>
        <w:rPr>
          <w:rFonts w:hint="eastAsia" w:ascii="宋体" w:hAnsi="宋体" w:eastAsia="宋体" w:cs="Times New Roman"/>
          <w:kern w:val="2"/>
          <w:sz w:val="22"/>
          <w:szCs w:val="21"/>
          <w:lang w:val="en-US" w:eastAsia="zh-CN" w:bidi="ar-SA"/>
        </w:rPr>
        <w:t>提交最后报价的供应商</w:t>
      </w:r>
      <w:r>
        <w:rPr>
          <w:rFonts w:ascii="宋体" w:hAnsi="宋体" w:eastAsia="宋体" w:cs="Times New Roman"/>
          <w:kern w:val="2"/>
          <w:sz w:val="22"/>
          <w:szCs w:val="21"/>
          <w:lang w:val="en-US" w:eastAsia="zh-CN" w:bidi="ar-SA"/>
        </w:rPr>
        <w:t>可以为2家）</w:t>
      </w:r>
      <w:r>
        <w:rPr>
          <w:rFonts w:hint="eastAsia" w:ascii="宋体" w:hAnsi="宋体" w:eastAsia="宋体" w:cs="Times New Roman"/>
          <w:kern w:val="2"/>
          <w:sz w:val="22"/>
          <w:szCs w:val="21"/>
          <w:lang w:val="en-US" w:eastAsia="zh-CN" w:bidi="ar-SA"/>
        </w:rPr>
        <w:t>。</w:t>
      </w:r>
    </w:p>
    <w:p w14:paraId="264A581B">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9</w:t>
      </w:r>
      <w:r>
        <w:rPr>
          <w:rFonts w:ascii="宋体" w:hAnsi="宋体" w:eastAsia="宋体" w:cs="Times New Roman"/>
          <w:kern w:val="2"/>
          <w:sz w:val="22"/>
          <w:szCs w:val="21"/>
          <w:lang w:val="zh-CN" w:eastAsia="zh-CN" w:bidi="ar-SA"/>
        </w:rPr>
        <w:t>.2</w:t>
      </w:r>
      <w:r>
        <w:rPr>
          <w:rFonts w:hint="eastAsia" w:ascii="宋体" w:hAnsi="宋体" w:eastAsia="宋体" w:cs="Times New Roman"/>
          <w:kern w:val="2"/>
          <w:sz w:val="22"/>
          <w:szCs w:val="21"/>
          <w:lang w:val="zh-CN" w:eastAsia="zh-CN" w:bidi="ar-SA"/>
        </w:rPr>
        <w:t>采购活动</w:t>
      </w:r>
      <w:r>
        <w:rPr>
          <w:rFonts w:ascii="宋体" w:hAnsi="宋体" w:eastAsia="宋体" w:cs="Times New Roman"/>
          <w:kern w:val="2"/>
          <w:sz w:val="22"/>
          <w:szCs w:val="21"/>
          <w:lang w:val="zh-CN" w:eastAsia="zh-CN" w:bidi="ar-SA"/>
        </w:rPr>
        <w:t>终止</w:t>
      </w:r>
      <w:r>
        <w:rPr>
          <w:rFonts w:hint="eastAsia" w:ascii="宋体" w:hAnsi="宋体" w:eastAsia="宋体" w:cs="Times New Roman"/>
          <w:kern w:val="2"/>
          <w:sz w:val="22"/>
          <w:szCs w:val="21"/>
          <w:lang w:val="zh-CN" w:eastAsia="zh-CN" w:bidi="ar-SA"/>
        </w:rPr>
        <w:t>后，</w:t>
      </w:r>
      <w:r>
        <w:rPr>
          <w:rFonts w:hint="eastAsia" w:ascii="宋体" w:hAnsi="宋体" w:eastAsia="宋体" w:cs="Helvetica"/>
          <w:kern w:val="2"/>
          <w:sz w:val="22"/>
          <w:szCs w:val="21"/>
          <w:lang w:val="zh-CN" w:eastAsia="zh-CN" w:bidi="ar-SA"/>
        </w:rPr>
        <w:t>采购</w:t>
      </w:r>
      <w:r>
        <w:rPr>
          <w:rFonts w:hint="eastAsia" w:ascii="宋体" w:hAnsi="宋体" w:eastAsia="宋体" w:cs="Times New Roman"/>
          <w:kern w:val="2"/>
          <w:sz w:val="22"/>
          <w:szCs w:val="21"/>
          <w:lang w:val="zh-CN" w:eastAsia="zh-CN" w:bidi="ar-SA"/>
        </w:rPr>
        <w:t>人应当将终止理由告知所有供应商。</w:t>
      </w:r>
    </w:p>
    <w:p w14:paraId="4F65C491">
      <w:pPr>
        <w:keepNext/>
        <w:keepLines/>
        <w:pageBreakBefore w:val="0"/>
        <w:widowControl w:val="0"/>
        <w:numPr>
          <w:ilvl w:val="0"/>
          <w:numId w:val="0"/>
        </w:numPr>
        <w:kinsoku/>
        <w:overflowPunct/>
        <w:topLinePunct w:val="0"/>
        <w:autoSpaceDE/>
        <w:autoSpaceDN/>
        <w:bidi w:val="0"/>
        <w:spacing w:before="0" w:after="0" w:line="376" w:lineRule="auto"/>
        <w:ind w:leftChars="0"/>
        <w:textAlignment w:val="auto"/>
        <w:outlineLvl w:val="3"/>
        <w:rPr>
          <w:rFonts w:ascii="等线 Light" w:hAnsi="等线 Light" w:eastAsia="宋体" w:cs="Times New Roman"/>
          <w:b/>
          <w:bCs/>
          <w:kern w:val="2"/>
          <w:sz w:val="24"/>
          <w:szCs w:val="24"/>
          <w:lang w:val="en-US" w:eastAsia="zh-CN" w:bidi="ar-SA"/>
        </w:rPr>
      </w:pPr>
      <w:bookmarkStart w:id="91" w:name="_Toc102116022"/>
      <w:bookmarkStart w:id="92" w:name="_Toc102056218"/>
      <w:bookmarkStart w:id="93" w:name="_Toc102116152"/>
      <w:bookmarkStart w:id="94" w:name="_Toc102114920"/>
      <w:bookmarkStart w:id="95" w:name="_Toc102057718"/>
      <w:bookmarkStart w:id="96" w:name="_Toc102119853"/>
      <w:r>
        <w:rPr>
          <w:rFonts w:hint="eastAsia" w:ascii="等线 Light" w:hAnsi="等线 Light" w:eastAsia="宋体" w:cs="Times New Roman"/>
          <w:b/>
          <w:bCs/>
          <w:kern w:val="2"/>
          <w:sz w:val="24"/>
          <w:szCs w:val="24"/>
          <w:lang w:val="en-US" w:eastAsia="zh-CN" w:bidi="ar-SA"/>
        </w:rPr>
        <w:t>10.停止评审的情形</w:t>
      </w:r>
      <w:bookmarkEnd w:id="91"/>
      <w:bookmarkEnd w:id="92"/>
      <w:bookmarkEnd w:id="93"/>
      <w:bookmarkEnd w:id="94"/>
      <w:bookmarkEnd w:id="95"/>
      <w:bookmarkEnd w:id="96"/>
    </w:p>
    <w:p w14:paraId="42CA29AD">
      <w:pPr>
        <w:pageBreakBefore w:val="0"/>
        <w:widowControl w:val="0"/>
        <w:kinsoku/>
        <w:wordWrap w:val="0"/>
        <w:overflowPunct/>
        <w:topLinePunct w:val="0"/>
        <w:autoSpaceDE/>
        <w:autoSpaceDN/>
        <w:bidi w:val="0"/>
        <w:spacing w:line="360" w:lineRule="auto"/>
        <w:ind w:left="0" w:leftChars="0" w:firstLine="440" w:firstLineChars="200"/>
        <w:textAlignment w:val="auto"/>
        <w:rPr>
          <w:rFonts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1</w:t>
      </w:r>
      <w:r>
        <w:rPr>
          <w:rFonts w:ascii="宋体" w:hAnsi="宋体" w:eastAsia="宋体" w:cs="Times New Roman"/>
          <w:kern w:val="2"/>
          <w:sz w:val="22"/>
          <w:szCs w:val="21"/>
          <w:lang w:val="zh-CN" w:eastAsia="zh-CN" w:bidi="ar-SA"/>
        </w:rPr>
        <w:t>0.1</w:t>
      </w:r>
      <w:r>
        <w:rPr>
          <w:rFonts w:hint="eastAsia" w:ascii="宋体" w:hAnsi="宋体" w:eastAsia="宋体" w:cs="Times New Roman"/>
          <w:kern w:val="2"/>
          <w:sz w:val="22"/>
          <w:szCs w:val="21"/>
          <w:lang w:val="zh-CN" w:eastAsia="zh-CN" w:bidi="ar-SA"/>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5602D7E9">
      <w:pPr>
        <w:keepNext/>
        <w:keepLines/>
        <w:widowControl w:val="0"/>
        <w:numPr>
          <w:ilvl w:val="0"/>
          <w:numId w:val="1"/>
        </w:numPr>
        <w:spacing w:before="260" w:after="260" w:line="416" w:lineRule="auto"/>
        <w:ind w:left="420" w:hanging="420"/>
        <w:outlineLvl w:val="1"/>
        <w:rPr>
          <w:rFonts w:ascii="等线 Light" w:hAnsi="等线 Light" w:eastAsia="宋体" w:cs="Times New Roman"/>
          <w:b/>
          <w:bCs/>
          <w:kern w:val="2"/>
          <w:sz w:val="28"/>
          <w:szCs w:val="28"/>
          <w:lang w:val="en-US" w:eastAsia="zh-CN" w:bidi="ar-SA"/>
        </w:rPr>
      </w:pPr>
      <w:bookmarkStart w:id="97" w:name="_Toc8646"/>
      <w:bookmarkStart w:id="98" w:name="_Toc163493637"/>
      <w:r>
        <w:rPr>
          <w:rFonts w:hint="eastAsia" w:ascii="等线 Light" w:hAnsi="等线 Light" w:eastAsia="宋体" w:cs="Times New Roman"/>
          <w:b/>
          <w:bCs/>
          <w:kern w:val="2"/>
          <w:sz w:val="28"/>
          <w:szCs w:val="28"/>
          <w:lang w:val="en-US" w:eastAsia="zh-CN" w:bidi="ar-SA"/>
        </w:rPr>
        <w:t>评审标准</w:t>
      </w:r>
      <w:bookmarkEnd w:id="97"/>
      <w:bookmarkEnd w:id="98"/>
    </w:p>
    <w:p w14:paraId="4524BF9B">
      <w:pPr>
        <w:keepNext/>
        <w:keepLines/>
        <w:widowControl w:val="0"/>
        <w:numPr>
          <w:ilvl w:val="0"/>
          <w:numId w:val="5"/>
        </w:numPr>
        <w:spacing w:before="260" w:after="260" w:line="416" w:lineRule="auto"/>
        <w:ind w:left="420" w:hanging="420"/>
        <w:outlineLvl w:val="2"/>
        <w:rPr>
          <w:rFonts w:ascii="宋体" w:hAnsi="宋体" w:eastAsia="宋体" w:cs="Times New Roman"/>
          <w:b/>
          <w:bCs/>
          <w:kern w:val="2"/>
          <w:sz w:val="28"/>
          <w:szCs w:val="28"/>
          <w:lang w:val="en-US" w:eastAsia="zh-CN" w:bidi="ar-SA"/>
        </w:rPr>
      </w:pPr>
      <w:bookmarkStart w:id="99" w:name="_Toc163493638"/>
      <w:r>
        <w:rPr>
          <w:rFonts w:hint="eastAsia" w:ascii="宋体" w:hAnsi="宋体" w:eastAsia="宋体" w:cs="Times New Roman"/>
          <w:b/>
          <w:bCs/>
          <w:kern w:val="2"/>
          <w:sz w:val="28"/>
          <w:szCs w:val="28"/>
          <w:lang w:val="en-US" w:eastAsia="zh-CN" w:bidi="ar-SA"/>
        </w:rPr>
        <w:t>资格性审查表</w:t>
      </w:r>
      <w:bookmarkEnd w:id="99"/>
    </w:p>
    <w:p w14:paraId="4C20B2AD">
      <w:pPr>
        <w:spacing w:line="360" w:lineRule="auto"/>
        <w:ind w:firstLine="440" w:firstLineChars="200"/>
        <w:jc w:val="left"/>
        <w:rPr>
          <w:rFonts w:hint="eastAsia" w:ascii="宋体" w:hAnsi="宋体" w:eastAsia="宋体" w:cs="Times New Roman"/>
          <w:sz w:val="22"/>
          <w:szCs w:val="21"/>
        </w:rPr>
      </w:pPr>
      <w:r>
        <w:rPr>
          <w:rFonts w:hint="eastAsia" w:ascii="宋体" w:hAnsi="宋体" w:eastAsia="宋体" w:cs="Times New Roman"/>
          <w:sz w:val="22"/>
          <w:szCs w:val="21"/>
        </w:rPr>
        <w:t>磋商小组按照本章“资格审查方法及标准”，对各供应商资格证明文件进行审查。磋商小组依据对各供应商资格证明文件的审查结果，确定资格审查合格的供应商。</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6"/>
        <w:gridCol w:w="2843"/>
        <w:gridCol w:w="5910"/>
      </w:tblGrid>
      <w:tr w14:paraId="08D4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tblHeader/>
          <w:jc w:val="center"/>
        </w:trPr>
        <w:tc>
          <w:tcPr>
            <w:tcW w:w="706" w:type="dxa"/>
            <w:vAlign w:val="center"/>
          </w:tcPr>
          <w:p w14:paraId="041BB4EA">
            <w:pPr>
              <w:widowControl/>
              <w:adjustRightInd w:val="0"/>
              <w:snapToGrid w:val="0"/>
              <w:spacing w:line="240" w:lineRule="auto"/>
              <w:jc w:val="center"/>
              <w:rPr>
                <w:rFonts w:hint="eastAsia" w:ascii="宋体" w:hAnsi="宋体" w:eastAsia="宋体" w:cs="宋体"/>
                <w:kern w:val="0"/>
                <w:sz w:val="22"/>
                <w:szCs w:val="20"/>
              </w:rPr>
            </w:pPr>
            <w:bookmarkStart w:id="100" w:name="_Toc156490348"/>
            <w:r>
              <w:rPr>
                <w:rFonts w:hint="eastAsia" w:ascii="宋体" w:hAnsi="宋体" w:eastAsia="宋体" w:cs="宋体"/>
                <w:kern w:val="0"/>
                <w:sz w:val="22"/>
                <w:szCs w:val="20"/>
              </w:rPr>
              <w:t>序号</w:t>
            </w:r>
          </w:p>
        </w:tc>
        <w:tc>
          <w:tcPr>
            <w:tcW w:w="2843" w:type="dxa"/>
            <w:vAlign w:val="center"/>
          </w:tcPr>
          <w:p w14:paraId="00BE08C1">
            <w:pPr>
              <w:widowControl/>
              <w:adjustRightInd w:val="0"/>
              <w:snapToGrid w:val="0"/>
              <w:spacing w:line="240" w:lineRule="auto"/>
              <w:jc w:val="center"/>
              <w:rPr>
                <w:rFonts w:hint="eastAsia" w:ascii="宋体" w:hAnsi="宋体" w:eastAsia="宋体" w:cs="宋体"/>
                <w:kern w:val="0"/>
                <w:sz w:val="22"/>
                <w:szCs w:val="20"/>
                <w:lang w:val="en-US" w:eastAsia="zh-CN"/>
              </w:rPr>
            </w:pPr>
            <w:r>
              <w:rPr>
                <w:rFonts w:hint="eastAsia" w:ascii="宋体" w:hAnsi="宋体" w:eastAsia="宋体" w:cs="宋体"/>
                <w:kern w:val="0"/>
                <w:sz w:val="22"/>
                <w:szCs w:val="20"/>
                <w:lang w:val="en-US" w:eastAsia="zh-CN"/>
              </w:rPr>
              <w:t>审查内容</w:t>
            </w:r>
          </w:p>
        </w:tc>
        <w:tc>
          <w:tcPr>
            <w:tcW w:w="5910" w:type="dxa"/>
            <w:vAlign w:val="center"/>
          </w:tcPr>
          <w:p w14:paraId="6750AD5C">
            <w:pPr>
              <w:widowControl/>
              <w:adjustRightInd w:val="0"/>
              <w:snapToGrid w:val="0"/>
              <w:spacing w:line="240" w:lineRule="auto"/>
              <w:jc w:val="center"/>
              <w:rPr>
                <w:rFonts w:hint="eastAsia" w:ascii="宋体" w:hAnsi="宋体" w:eastAsia="宋体" w:cs="宋体"/>
                <w:kern w:val="0"/>
                <w:sz w:val="22"/>
                <w:szCs w:val="20"/>
                <w:lang w:val="en-US" w:eastAsia="zh-CN" w:bidi="ar-SA"/>
              </w:rPr>
            </w:pPr>
            <w:r>
              <w:rPr>
                <w:rFonts w:hint="eastAsia" w:ascii="宋体" w:hAnsi="宋体" w:eastAsia="宋体" w:cs="宋体"/>
                <w:kern w:val="0"/>
                <w:sz w:val="22"/>
                <w:szCs w:val="20"/>
              </w:rPr>
              <w:t>须提供的资料</w:t>
            </w:r>
          </w:p>
        </w:tc>
      </w:tr>
      <w:tr w14:paraId="6136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21" w:hRule="atLeast"/>
          <w:jc w:val="center"/>
        </w:trPr>
        <w:tc>
          <w:tcPr>
            <w:tcW w:w="706" w:type="dxa"/>
            <w:vAlign w:val="center"/>
          </w:tcPr>
          <w:p w14:paraId="4B9A079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2843" w:type="dxa"/>
            <w:vAlign w:val="center"/>
          </w:tcPr>
          <w:p w14:paraId="61D49863">
            <w:pPr>
              <w:snapToGrid w:val="0"/>
              <w:spacing w:line="240" w:lineRule="auto"/>
              <w:jc w:val="center"/>
              <w:rPr>
                <w:rFonts w:hint="eastAsia" w:ascii="宋体" w:hAnsi="宋体" w:eastAsia="宋体" w:cs="宋体"/>
                <w:sz w:val="22"/>
                <w:szCs w:val="20"/>
                <w:lang w:val="hr-HR"/>
              </w:rPr>
            </w:pPr>
            <w:r>
              <w:rPr>
                <w:rFonts w:hint="eastAsia" w:ascii="宋体" w:hAnsi="宋体" w:eastAsia="宋体" w:cs="宋体"/>
                <w:sz w:val="22"/>
                <w:szCs w:val="20"/>
                <w:lang w:val="hr-HR"/>
              </w:rPr>
              <w:t>具有独立承担民事责任的能力</w:t>
            </w:r>
          </w:p>
        </w:tc>
        <w:tc>
          <w:tcPr>
            <w:tcW w:w="5910" w:type="dxa"/>
            <w:vAlign w:val="center"/>
          </w:tcPr>
          <w:p w14:paraId="0819D8DE">
            <w:pPr>
              <w:snapToGrid w:val="0"/>
              <w:spacing w:line="240" w:lineRule="auto"/>
              <w:jc w:val="both"/>
              <w:rPr>
                <w:rFonts w:hint="eastAsia" w:ascii="宋体" w:hAnsi="宋体" w:eastAsia="宋体" w:cs="宋体"/>
                <w:bCs/>
                <w:sz w:val="22"/>
                <w:szCs w:val="20"/>
                <w:lang w:eastAsia="zh-CN"/>
              </w:rPr>
            </w:pPr>
            <w:r>
              <w:rPr>
                <w:rFonts w:hint="eastAsia" w:ascii="宋体" w:hAnsi="宋体" w:eastAsia="宋体" w:cs="宋体"/>
                <w:bCs/>
                <w:sz w:val="22"/>
                <w:szCs w:val="22"/>
              </w:rPr>
              <w:t>企业法人营业执照或事业单位法人证书</w:t>
            </w:r>
            <w:r>
              <w:rPr>
                <w:rFonts w:hint="eastAsia" w:ascii="宋体" w:hAnsi="宋体" w:eastAsia="宋体" w:cs="宋体"/>
                <w:bCs/>
                <w:color w:val="auto"/>
                <w:sz w:val="22"/>
                <w:szCs w:val="22"/>
              </w:rPr>
              <w:t>或执业许可证（非企业专业服务机构）</w:t>
            </w:r>
            <w:r>
              <w:rPr>
                <w:rFonts w:hint="eastAsia" w:ascii="宋体" w:hAnsi="宋体" w:eastAsia="宋体" w:cs="宋体"/>
                <w:bCs/>
                <w:sz w:val="22"/>
                <w:szCs w:val="22"/>
              </w:rPr>
              <w:t>或个体工商户营业执照等证明文件。</w:t>
            </w:r>
          </w:p>
        </w:tc>
      </w:tr>
      <w:tr w14:paraId="4DBB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706" w:type="dxa"/>
            <w:vAlign w:val="center"/>
          </w:tcPr>
          <w:p w14:paraId="0A9E50DF">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2843" w:type="dxa"/>
            <w:vAlign w:val="center"/>
          </w:tcPr>
          <w:p w14:paraId="0E320F5A">
            <w:pPr>
              <w:widowControl/>
              <w:adjustRightInd w:val="0"/>
              <w:snapToGrid w:val="0"/>
              <w:spacing w:line="240" w:lineRule="auto"/>
              <w:jc w:val="center"/>
              <w:rPr>
                <w:rFonts w:hint="eastAsia" w:ascii="宋体" w:hAnsi="宋体" w:eastAsia="宋体" w:cs="宋体"/>
                <w:kern w:val="0"/>
                <w:sz w:val="22"/>
                <w:szCs w:val="20"/>
              </w:rPr>
            </w:pPr>
            <w:r>
              <w:rPr>
                <w:rFonts w:hint="eastAsia" w:ascii="宋体" w:hAnsi="宋体" w:eastAsia="宋体" w:cs="宋体"/>
                <w:kern w:val="0"/>
                <w:sz w:val="22"/>
                <w:szCs w:val="20"/>
              </w:rPr>
              <w:t>具有良好的商业信誉和健全的财务会计制度、有依法缴纳税收的良好记录、 有依法缴纳社会保障资金的良好记录</w:t>
            </w:r>
          </w:p>
        </w:tc>
        <w:tc>
          <w:tcPr>
            <w:tcW w:w="5910" w:type="dxa"/>
            <w:vAlign w:val="center"/>
          </w:tcPr>
          <w:p w14:paraId="202F239F">
            <w:pPr>
              <w:snapToGrid w:val="0"/>
              <w:spacing w:line="240" w:lineRule="auto"/>
              <w:jc w:val="both"/>
              <w:rPr>
                <w:rFonts w:hint="eastAsia" w:ascii="宋体" w:hAnsi="宋体" w:eastAsia="宋体" w:cs="宋体"/>
                <w:bCs/>
                <w:sz w:val="22"/>
                <w:szCs w:val="20"/>
              </w:rPr>
            </w:pPr>
            <w:r>
              <w:rPr>
                <w:rFonts w:hint="eastAsia" w:ascii="宋体" w:hAnsi="宋体" w:eastAsia="宋体" w:cs="宋体"/>
                <w:bCs/>
                <w:sz w:val="22"/>
                <w:szCs w:val="20"/>
              </w:rPr>
              <w:t>供应商可根据自身实际情况进行承诺满足本条。（供应商提交此声明函后，无需再另外提供财务报告、 缴纳社保和税收的相关证明材料）</w:t>
            </w:r>
          </w:p>
        </w:tc>
      </w:tr>
      <w:tr w14:paraId="0B81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706" w:type="dxa"/>
            <w:vAlign w:val="center"/>
          </w:tcPr>
          <w:p w14:paraId="3199FE6E">
            <w:pPr>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p>
        </w:tc>
        <w:tc>
          <w:tcPr>
            <w:tcW w:w="2843" w:type="dxa"/>
            <w:vAlign w:val="center"/>
          </w:tcPr>
          <w:p w14:paraId="725C7CB5">
            <w:pPr>
              <w:widowControl/>
              <w:adjustRightInd w:val="0"/>
              <w:snapToGrid w:val="0"/>
              <w:spacing w:line="240" w:lineRule="auto"/>
              <w:jc w:val="center"/>
              <w:rPr>
                <w:rFonts w:hint="eastAsia" w:ascii="宋体" w:hAnsi="宋体" w:eastAsia="宋体" w:cs="宋体"/>
                <w:kern w:val="2"/>
                <w:sz w:val="22"/>
                <w:szCs w:val="20"/>
                <w:lang w:val="hr-HR" w:eastAsia="zh-CN" w:bidi="ar-SA"/>
              </w:rPr>
            </w:pPr>
            <w:r>
              <w:rPr>
                <w:rFonts w:hint="eastAsia" w:ascii="宋体" w:hAnsi="宋体" w:eastAsia="宋体" w:cs="宋体"/>
                <w:sz w:val="22"/>
                <w:szCs w:val="20"/>
                <w:lang w:val="hr-HR"/>
              </w:rPr>
              <w:t>具有履行合同所必需的设备和专业技术能力</w:t>
            </w:r>
          </w:p>
        </w:tc>
        <w:tc>
          <w:tcPr>
            <w:tcW w:w="5910" w:type="dxa"/>
            <w:vAlign w:val="center"/>
          </w:tcPr>
          <w:p w14:paraId="78253FA1">
            <w:pPr>
              <w:snapToGrid w:val="0"/>
              <w:spacing w:line="240" w:lineRule="auto"/>
              <w:jc w:val="both"/>
              <w:rPr>
                <w:rFonts w:hint="eastAsia" w:ascii="宋体" w:hAnsi="宋体" w:eastAsia="宋体" w:cs="宋体"/>
                <w:kern w:val="2"/>
                <w:sz w:val="22"/>
                <w:szCs w:val="20"/>
                <w:lang w:val="hr-HR" w:eastAsia="zh-CN" w:bidi="ar-SA"/>
              </w:rPr>
            </w:pPr>
            <w:r>
              <w:rPr>
                <w:rFonts w:hint="eastAsia" w:ascii="宋体" w:hAnsi="宋体" w:eastAsia="宋体" w:cs="宋体"/>
                <w:kern w:val="2"/>
                <w:sz w:val="22"/>
                <w:szCs w:val="20"/>
                <w:lang w:val="hr-HR" w:eastAsia="zh-CN" w:bidi="ar-SA"/>
              </w:rPr>
              <w:t>供应商可根据自身实际情况进行承诺满足本条。（供应商提交此承诺书后，无需再另外提供相关证明材料）</w:t>
            </w:r>
          </w:p>
        </w:tc>
      </w:tr>
      <w:tr w14:paraId="01D8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7" w:hRule="atLeast"/>
          <w:jc w:val="center"/>
        </w:trPr>
        <w:tc>
          <w:tcPr>
            <w:tcW w:w="706" w:type="dxa"/>
            <w:vAlign w:val="center"/>
          </w:tcPr>
          <w:p w14:paraId="3705F17C">
            <w:pPr>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p>
        </w:tc>
        <w:tc>
          <w:tcPr>
            <w:tcW w:w="2843" w:type="dxa"/>
            <w:vAlign w:val="center"/>
          </w:tcPr>
          <w:p w14:paraId="64259699">
            <w:pPr>
              <w:widowControl/>
              <w:adjustRightInd w:val="0"/>
              <w:snapToGrid w:val="0"/>
              <w:spacing w:line="240" w:lineRule="auto"/>
              <w:jc w:val="center"/>
              <w:rPr>
                <w:rFonts w:hint="eastAsia" w:ascii="宋体" w:hAnsi="宋体" w:eastAsia="宋体" w:cs="宋体"/>
                <w:kern w:val="2"/>
                <w:sz w:val="22"/>
                <w:szCs w:val="20"/>
                <w:lang w:val="hr-HR" w:eastAsia="zh-CN" w:bidi="ar-SA"/>
              </w:rPr>
            </w:pPr>
            <w:r>
              <w:rPr>
                <w:rFonts w:hint="eastAsia" w:ascii="宋体" w:hAnsi="宋体" w:eastAsia="宋体" w:cs="宋体"/>
                <w:sz w:val="22"/>
                <w:szCs w:val="20"/>
                <w:lang w:val="hr-HR"/>
              </w:rPr>
              <w:t>参加政府采购活动前三年内，在经营活动中没有重大违法记录</w:t>
            </w:r>
          </w:p>
        </w:tc>
        <w:tc>
          <w:tcPr>
            <w:tcW w:w="5910" w:type="dxa"/>
            <w:vAlign w:val="center"/>
          </w:tcPr>
          <w:p w14:paraId="42D331D9">
            <w:pPr>
              <w:widowControl/>
              <w:adjustRightInd w:val="0"/>
              <w:snapToGrid w:val="0"/>
              <w:spacing w:line="240" w:lineRule="auto"/>
              <w:jc w:val="both"/>
              <w:rPr>
                <w:rFonts w:hint="eastAsia" w:ascii="宋体" w:hAnsi="宋体" w:eastAsia="宋体" w:cs="宋体"/>
                <w:color w:val="auto"/>
                <w:kern w:val="2"/>
                <w:sz w:val="22"/>
                <w:szCs w:val="20"/>
                <w:lang w:val="hr-HR" w:eastAsia="zh-CN" w:bidi="ar-SA"/>
              </w:rPr>
            </w:pPr>
            <w:r>
              <w:rPr>
                <w:rFonts w:hint="eastAsia" w:ascii="宋体" w:hAnsi="宋体" w:eastAsia="宋体" w:cs="宋体"/>
                <w:color w:val="auto"/>
                <w:sz w:val="22"/>
                <w:szCs w:val="20"/>
              </w:rPr>
              <w:t>提供</w:t>
            </w:r>
            <w:r>
              <w:rPr>
                <w:rFonts w:hint="eastAsia" w:ascii="宋体" w:hAnsi="宋体" w:eastAsia="宋体" w:cs="宋体"/>
                <w:color w:val="auto"/>
                <w:sz w:val="22"/>
                <w:szCs w:val="20"/>
                <w:lang w:val="hr-HR"/>
              </w:rPr>
              <w:t>无</w:t>
            </w:r>
            <w:r>
              <w:rPr>
                <w:rFonts w:hint="eastAsia" w:ascii="宋体" w:hAnsi="宋体" w:eastAsia="宋体" w:cs="宋体"/>
                <w:color w:val="auto"/>
                <w:sz w:val="22"/>
                <w:szCs w:val="20"/>
              </w:rPr>
              <w:t>重大违法记录</w:t>
            </w:r>
            <w:r>
              <w:rPr>
                <w:rFonts w:hint="eastAsia" w:ascii="宋体" w:hAnsi="宋体" w:eastAsia="宋体" w:cs="宋体"/>
                <w:color w:val="auto"/>
                <w:sz w:val="22"/>
                <w:szCs w:val="20"/>
                <w:lang w:val="hr-HR"/>
              </w:rPr>
              <w:t>的书面声明。</w:t>
            </w:r>
          </w:p>
        </w:tc>
      </w:tr>
      <w:tr w14:paraId="1065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706" w:type="dxa"/>
            <w:vAlign w:val="center"/>
          </w:tcPr>
          <w:p w14:paraId="1118EFDF">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2843" w:type="dxa"/>
            <w:vAlign w:val="center"/>
          </w:tcPr>
          <w:p w14:paraId="2EE53587">
            <w:pPr>
              <w:widowControl/>
              <w:adjustRightInd w:val="0"/>
              <w:snapToGrid w:val="0"/>
              <w:spacing w:line="240" w:lineRule="auto"/>
              <w:jc w:val="center"/>
              <w:rPr>
                <w:rFonts w:hint="eastAsia" w:ascii="宋体" w:hAnsi="宋体" w:eastAsia="宋体" w:cs="宋体"/>
                <w:sz w:val="22"/>
                <w:szCs w:val="20"/>
                <w:lang w:val="hr-HR"/>
              </w:rPr>
            </w:pPr>
            <w:r>
              <w:rPr>
                <w:rFonts w:hint="eastAsia" w:ascii="宋体" w:hAnsi="宋体" w:eastAsia="宋体" w:cs="宋体"/>
                <w:sz w:val="22"/>
                <w:szCs w:val="20"/>
                <w:lang w:val="hr-HR"/>
              </w:rPr>
              <w:t>具备法律、行政法规规定的其他条件的证明材料</w:t>
            </w:r>
          </w:p>
        </w:tc>
        <w:tc>
          <w:tcPr>
            <w:tcW w:w="5910" w:type="dxa"/>
            <w:vAlign w:val="center"/>
          </w:tcPr>
          <w:p w14:paraId="27BF9B42">
            <w:pPr>
              <w:widowControl/>
              <w:adjustRightInd w:val="0"/>
              <w:snapToGrid w:val="0"/>
              <w:spacing w:line="240" w:lineRule="auto"/>
              <w:jc w:val="both"/>
              <w:rPr>
                <w:rFonts w:hint="eastAsia" w:ascii="宋体" w:hAnsi="宋体" w:eastAsia="宋体" w:cs="宋体"/>
                <w:color w:val="auto"/>
                <w:sz w:val="22"/>
                <w:szCs w:val="20"/>
                <w:lang w:val="hr-HR" w:eastAsia="zh-CN"/>
              </w:rPr>
            </w:pPr>
            <w:r>
              <w:rPr>
                <w:rFonts w:hint="eastAsia" w:ascii="宋体" w:hAnsi="宋体" w:eastAsia="宋体" w:cs="宋体"/>
                <w:color w:val="auto"/>
                <w:sz w:val="22"/>
                <w:szCs w:val="20"/>
              </w:rPr>
              <w:t>提供</w:t>
            </w:r>
            <w:r>
              <w:rPr>
                <w:rFonts w:hint="eastAsia" w:ascii="宋体" w:hAnsi="宋体" w:eastAsia="宋体" w:cs="宋体"/>
                <w:sz w:val="22"/>
                <w:szCs w:val="20"/>
                <w:lang w:val="hr-HR"/>
              </w:rPr>
              <w:t>具备法律、行政法规规定的其他条件的证明材料</w:t>
            </w:r>
            <w:r>
              <w:rPr>
                <w:rFonts w:hint="eastAsia" w:ascii="宋体" w:hAnsi="宋体" w:eastAsia="宋体" w:cs="宋体"/>
                <w:sz w:val="22"/>
                <w:szCs w:val="20"/>
                <w:lang w:val="hr-HR" w:eastAsia="zh-CN"/>
              </w:rPr>
              <w:t>的书面声明。</w:t>
            </w:r>
          </w:p>
        </w:tc>
      </w:tr>
      <w:tr w14:paraId="5C63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706" w:type="dxa"/>
            <w:vMerge w:val="restart"/>
            <w:vAlign w:val="center"/>
          </w:tcPr>
          <w:p w14:paraId="1AD80FE8">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2843" w:type="dxa"/>
            <w:vMerge w:val="restart"/>
            <w:vAlign w:val="center"/>
          </w:tcPr>
          <w:p w14:paraId="381E2B14">
            <w:pPr>
              <w:widowControl/>
              <w:adjustRightInd w:val="0"/>
              <w:snapToGrid w:val="0"/>
              <w:spacing w:line="240" w:lineRule="auto"/>
              <w:jc w:val="center"/>
              <w:rPr>
                <w:rFonts w:hint="eastAsia" w:ascii="宋体" w:hAnsi="宋体" w:eastAsia="宋体" w:cs="宋体"/>
                <w:kern w:val="2"/>
                <w:sz w:val="22"/>
                <w:szCs w:val="20"/>
                <w:lang w:val="hr-HR" w:eastAsia="zh-CN" w:bidi="ar-SA"/>
              </w:rPr>
            </w:pPr>
            <w:r>
              <w:rPr>
                <w:rFonts w:hint="eastAsia" w:ascii="宋体" w:hAnsi="宋体" w:eastAsia="宋体" w:cs="宋体"/>
                <w:sz w:val="22"/>
                <w:szCs w:val="20"/>
                <w:lang w:val="hr-HR"/>
              </w:rPr>
              <w:t>单位负责人为同一人或者存在直接控股、管理关系的不同</w:t>
            </w:r>
            <w:r>
              <w:rPr>
                <w:rFonts w:hint="eastAsia" w:ascii="宋体" w:hAnsi="宋体" w:eastAsia="宋体" w:cs="宋体"/>
                <w:sz w:val="22"/>
                <w:szCs w:val="20"/>
                <w:lang w:eastAsia="zh-CN"/>
              </w:rPr>
              <w:t>供应商</w:t>
            </w:r>
            <w:r>
              <w:rPr>
                <w:rFonts w:hint="eastAsia" w:ascii="宋体" w:hAnsi="宋体" w:eastAsia="宋体" w:cs="宋体"/>
                <w:sz w:val="22"/>
                <w:szCs w:val="20"/>
                <w:lang w:val="hr-HR"/>
              </w:rPr>
              <w:t>，不得参加本项目同一合同项下的政府采购活动</w:t>
            </w:r>
          </w:p>
        </w:tc>
        <w:tc>
          <w:tcPr>
            <w:tcW w:w="5910" w:type="dxa"/>
            <w:vMerge w:val="restart"/>
            <w:vAlign w:val="center"/>
          </w:tcPr>
          <w:p w14:paraId="67BDE483">
            <w:pPr>
              <w:widowControl/>
              <w:adjustRightInd w:val="0"/>
              <w:snapToGrid w:val="0"/>
              <w:spacing w:line="240" w:lineRule="auto"/>
              <w:jc w:val="both"/>
              <w:rPr>
                <w:rFonts w:hint="eastAsia" w:ascii="宋体" w:hAnsi="宋体" w:eastAsia="宋体" w:cs="宋体"/>
                <w:b/>
                <w:bCs/>
                <w:color w:val="auto"/>
                <w:sz w:val="22"/>
                <w:szCs w:val="20"/>
              </w:rPr>
            </w:pPr>
            <w:r>
              <w:rPr>
                <w:rFonts w:hint="eastAsia" w:ascii="宋体" w:hAnsi="宋体" w:eastAsia="宋体" w:cs="宋体"/>
                <w:color w:val="auto"/>
                <w:sz w:val="22"/>
                <w:szCs w:val="20"/>
                <w:lang w:val="hr-HR"/>
              </w:rPr>
              <w:t>提供未参加同一合同项下的政府采购活动的书面声明。</w:t>
            </w:r>
          </w:p>
        </w:tc>
      </w:tr>
      <w:tr w14:paraId="5C8A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77" w:hRule="atLeast"/>
          <w:jc w:val="center"/>
        </w:trPr>
        <w:tc>
          <w:tcPr>
            <w:tcW w:w="706" w:type="dxa"/>
            <w:vMerge w:val="continue"/>
            <w:vAlign w:val="center"/>
          </w:tcPr>
          <w:p w14:paraId="1C7E501F">
            <w:pPr>
              <w:spacing w:line="360" w:lineRule="auto"/>
              <w:jc w:val="center"/>
              <w:rPr>
                <w:rFonts w:hint="eastAsia" w:ascii="宋体" w:hAnsi="宋体" w:eastAsia="宋体" w:cs="宋体"/>
                <w:sz w:val="22"/>
                <w:szCs w:val="22"/>
              </w:rPr>
            </w:pPr>
          </w:p>
        </w:tc>
        <w:tc>
          <w:tcPr>
            <w:tcW w:w="2843" w:type="dxa"/>
            <w:vMerge w:val="continue"/>
            <w:vAlign w:val="center"/>
          </w:tcPr>
          <w:p w14:paraId="269B2D0D">
            <w:pPr>
              <w:widowControl/>
              <w:adjustRightInd w:val="0"/>
              <w:snapToGrid w:val="0"/>
              <w:spacing w:line="240" w:lineRule="auto"/>
              <w:jc w:val="both"/>
              <w:rPr>
                <w:rFonts w:hint="eastAsia" w:ascii="宋体" w:hAnsi="宋体" w:eastAsia="宋体" w:cs="宋体"/>
                <w:sz w:val="22"/>
                <w:szCs w:val="20"/>
                <w:lang w:val="hr-HR"/>
              </w:rPr>
            </w:pPr>
          </w:p>
        </w:tc>
        <w:tc>
          <w:tcPr>
            <w:tcW w:w="5910" w:type="dxa"/>
            <w:vMerge w:val="continue"/>
            <w:vAlign w:val="center"/>
          </w:tcPr>
          <w:p w14:paraId="41120FD8">
            <w:pPr>
              <w:widowControl/>
              <w:adjustRightInd w:val="0"/>
              <w:snapToGrid w:val="0"/>
              <w:spacing w:line="240" w:lineRule="auto"/>
              <w:jc w:val="both"/>
              <w:rPr>
                <w:rFonts w:hint="eastAsia" w:ascii="宋体" w:hAnsi="宋体" w:eastAsia="宋体" w:cs="宋体"/>
                <w:color w:val="auto"/>
                <w:sz w:val="22"/>
                <w:szCs w:val="20"/>
                <w:lang w:val="hr-HR"/>
              </w:rPr>
            </w:pPr>
          </w:p>
        </w:tc>
      </w:tr>
      <w:tr w14:paraId="6F3D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706" w:type="dxa"/>
            <w:vAlign w:val="center"/>
          </w:tcPr>
          <w:p w14:paraId="58B99E99">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2843" w:type="dxa"/>
            <w:vAlign w:val="center"/>
          </w:tcPr>
          <w:p w14:paraId="4D8BF247">
            <w:pPr>
              <w:widowControl/>
              <w:adjustRightInd w:val="0"/>
              <w:snapToGrid w:val="0"/>
              <w:spacing w:line="240" w:lineRule="auto"/>
              <w:jc w:val="center"/>
              <w:rPr>
                <w:rFonts w:hint="eastAsia" w:ascii="宋体" w:hAnsi="宋体" w:eastAsia="宋体" w:cs="宋体"/>
                <w:sz w:val="22"/>
                <w:szCs w:val="20"/>
                <w:lang w:val="hr-HR"/>
              </w:rPr>
            </w:pPr>
            <w:r>
              <w:rPr>
                <w:rFonts w:hint="eastAsia" w:ascii="宋体" w:hAnsi="宋体" w:eastAsia="宋体" w:cs="宋体"/>
                <w:sz w:val="22"/>
                <w:szCs w:val="20"/>
                <w:lang w:val="hr-HR"/>
              </w:rPr>
              <w:t>为本采购项目提供整体设计、规范编制或者项目管理、监理、检测等服务的，不得再参加本项目的其他采购活动</w:t>
            </w:r>
          </w:p>
        </w:tc>
        <w:tc>
          <w:tcPr>
            <w:tcW w:w="5910" w:type="dxa"/>
            <w:vAlign w:val="center"/>
          </w:tcPr>
          <w:p w14:paraId="1FC4BB10">
            <w:pPr>
              <w:widowControl/>
              <w:adjustRightInd w:val="0"/>
              <w:snapToGrid w:val="0"/>
              <w:spacing w:line="240" w:lineRule="auto"/>
              <w:jc w:val="both"/>
              <w:rPr>
                <w:rFonts w:hint="eastAsia" w:ascii="宋体" w:hAnsi="宋体" w:eastAsia="宋体" w:cs="宋体"/>
                <w:color w:val="auto"/>
                <w:sz w:val="22"/>
                <w:szCs w:val="20"/>
                <w:lang w:val="hr-HR" w:eastAsia="zh-CN"/>
              </w:rPr>
            </w:pPr>
            <w:r>
              <w:rPr>
                <w:rFonts w:hint="eastAsia" w:ascii="宋体" w:hAnsi="宋体" w:eastAsia="宋体" w:cs="宋体"/>
                <w:color w:val="auto"/>
                <w:sz w:val="22"/>
                <w:szCs w:val="20"/>
                <w:lang w:val="en-US" w:eastAsia="zh-CN"/>
              </w:rPr>
              <w:t>提供没有为本次采购项目</w:t>
            </w:r>
            <w:r>
              <w:rPr>
                <w:rFonts w:hint="eastAsia" w:ascii="宋体" w:hAnsi="宋体" w:eastAsia="宋体" w:cs="宋体"/>
                <w:color w:val="auto"/>
                <w:sz w:val="22"/>
                <w:szCs w:val="20"/>
                <w:lang w:val="hr-HR"/>
              </w:rPr>
              <w:t>提供整体设计、规范编制或者项目管理、监理、检测等服务</w:t>
            </w:r>
            <w:r>
              <w:rPr>
                <w:rFonts w:hint="eastAsia" w:ascii="宋体" w:hAnsi="宋体" w:eastAsia="宋体" w:cs="宋体"/>
                <w:color w:val="auto"/>
                <w:sz w:val="22"/>
                <w:szCs w:val="20"/>
                <w:lang w:val="en-US" w:eastAsia="zh-CN"/>
              </w:rPr>
              <w:t>的书面声明。</w:t>
            </w:r>
          </w:p>
          <w:p w14:paraId="10635552">
            <w:pPr>
              <w:widowControl/>
              <w:adjustRightInd w:val="0"/>
              <w:snapToGrid w:val="0"/>
              <w:spacing w:line="240" w:lineRule="auto"/>
              <w:jc w:val="both"/>
              <w:rPr>
                <w:rFonts w:hint="eastAsia" w:ascii="宋体" w:hAnsi="宋体" w:eastAsia="宋体" w:cs="宋体"/>
                <w:color w:val="auto"/>
                <w:sz w:val="22"/>
                <w:szCs w:val="20"/>
                <w:lang w:val="en-US" w:eastAsia="zh-CN"/>
              </w:rPr>
            </w:pPr>
          </w:p>
        </w:tc>
      </w:tr>
      <w:tr w14:paraId="7347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706" w:type="dxa"/>
            <w:vAlign w:val="center"/>
          </w:tcPr>
          <w:p w14:paraId="1F239C1E">
            <w:pPr>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2843" w:type="dxa"/>
            <w:vAlign w:val="center"/>
          </w:tcPr>
          <w:p w14:paraId="02D73996">
            <w:pPr>
              <w:widowControl/>
              <w:adjustRightInd w:val="0"/>
              <w:snapToGrid w:val="0"/>
              <w:spacing w:line="240" w:lineRule="auto"/>
              <w:jc w:val="center"/>
              <w:rPr>
                <w:rFonts w:hint="eastAsia" w:ascii="宋体" w:hAnsi="宋体" w:eastAsia="宋体" w:cs="宋体"/>
                <w:sz w:val="22"/>
                <w:szCs w:val="20"/>
                <w:lang w:val="hr-HR"/>
              </w:rPr>
            </w:pPr>
            <w:r>
              <w:rPr>
                <w:rFonts w:hint="eastAsia" w:ascii="宋体" w:hAnsi="宋体" w:eastAsia="宋体" w:cs="宋体"/>
                <w:sz w:val="22"/>
                <w:szCs w:val="20"/>
                <w:lang w:val="hr-HR"/>
              </w:rPr>
              <w:t>未被列入失信被执行人、重大税收违法案件当事人名单，未被列入政府采购严重违法失信行为记录名单</w:t>
            </w:r>
          </w:p>
        </w:tc>
        <w:tc>
          <w:tcPr>
            <w:tcW w:w="5910" w:type="dxa"/>
            <w:vAlign w:val="center"/>
          </w:tcPr>
          <w:p w14:paraId="5D241C95">
            <w:pPr>
              <w:widowControl/>
              <w:adjustRightInd w:val="0"/>
              <w:snapToGrid w:val="0"/>
              <w:spacing w:line="240" w:lineRule="auto"/>
              <w:jc w:val="both"/>
              <w:rPr>
                <w:rFonts w:hint="eastAsia" w:ascii="宋体" w:hAnsi="宋体" w:eastAsia="宋体" w:cs="宋体"/>
                <w:kern w:val="2"/>
                <w:sz w:val="22"/>
                <w:szCs w:val="20"/>
                <w:lang w:val="hr-HR" w:eastAsia="zh-CN" w:bidi="ar-SA"/>
              </w:rPr>
            </w:pPr>
            <w:r>
              <w:rPr>
                <w:rFonts w:hint="eastAsia" w:ascii="宋体" w:hAnsi="宋体" w:eastAsia="宋体" w:cs="宋体"/>
                <w:sz w:val="22"/>
                <w:szCs w:val="20"/>
                <w:lang w:val="en-US" w:eastAsia="zh-CN"/>
              </w:rPr>
              <w:t>提供</w:t>
            </w:r>
            <w:r>
              <w:rPr>
                <w:rFonts w:hint="eastAsia" w:ascii="宋体" w:hAnsi="宋体" w:eastAsia="宋体" w:cs="宋体"/>
                <w:sz w:val="22"/>
                <w:szCs w:val="20"/>
                <w:lang w:val="hr-HR"/>
              </w:rPr>
              <w:t>未被列入记录名单的</w:t>
            </w:r>
            <w:r>
              <w:rPr>
                <w:rFonts w:hint="eastAsia" w:ascii="宋体" w:hAnsi="宋体" w:eastAsia="宋体" w:cs="宋体"/>
                <w:sz w:val="22"/>
                <w:szCs w:val="20"/>
                <w:lang w:val="en-US" w:eastAsia="zh-CN"/>
              </w:rPr>
              <w:t>书面</w:t>
            </w:r>
            <w:r>
              <w:rPr>
                <w:rFonts w:hint="eastAsia" w:ascii="宋体" w:hAnsi="宋体" w:eastAsia="宋体" w:cs="宋体"/>
                <w:sz w:val="22"/>
                <w:szCs w:val="20"/>
                <w:lang w:val="hr-HR"/>
              </w:rPr>
              <w:t>声明</w:t>
            </w:r>
            <w:r>
              <w:rPr>
                <w:rFonts w:hint="eastAsia" w:ascii="宋体" w:hAnsi="宋体" w:eastAsia="宋体" w:cs="宋体"/>
                <w:sz w:val="22"/>
                <w:szCs w:val="20"/>
                <w:lang w:val="hr-HR" w:eastAsia="zh-CN"/>
              </w:rPr>
              <w:t>。</w:t>
            </w:r>
          </w:p>
        </w:tc>
      </w:tr>
      <w:tr w14:paraId="505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706" w:type="dxa"/>
            <w:vAlign w:val="center"/>
          </w:tcPr>
          <w:p w14:paraId="0432778E">
            <w:pPr>
              <w:widowControl/>
              <w:adjustRightInd w:val="0"/>
              <w:snapToGrid w:val="0"/>
              <w:spacing w:line="240" w:lineRule="auto"/>
              <w:jc w:val="center"/>
              <w:rPr>
                <w:rFonts w:hint="eastAsia" w:ascii="宋体" w:hAnsi="宋体" w:eastAsia="宋体" w:cs="宋体"/>
                <w:kern w:val="0"/>
                <w:sz w:val="22"/>
                <w:szCs w:val="20"/>
                <w:lang w:val="en-US" w:eastAsia="zh-CN"/>
              </w:rPr>
            </w:pPr>
            <w:r>
              <w:rPr>
                <w:rFonts w:hint="eastAsia" w:ascii="宋体" w:hAnsi="宋体" w:eastAsia="宋体" w:cs="宋体"/>
                <w:kern w:val="0"/>
                <w:sz w:val="22"/>
                <w:szCs w:val="20"/>
                <w:lang w:val="en-US" w:eastAsia="zh-CN"/>
              </w:rPr>
              <w:t>9</w:t>
            </w:r>
          </w:p>
        </w:tc>
        <w:tc>
          <w:tcPr>
            <w:tcW w:w="2843" w:type="dxa"/>
            <w:vAlign w:val="center"/>
          </w:tcPr>
          <w:p w14:paraId="58363729">
            <w:pPr>
              <w:widowControl/>
              <w:adjustRightInd w:val="0"/>
              <w:snapToGrid w:val="0"/>
              <w:spacing w:line="240" w:lineRule="auto"/>
              <w:jc w:val="center"/>
              <w:rPr>
                <w:rFonts w:hint="eastAsia" w:ascii="宋体" w:hAnsi="宋体" w:eastAsia="宋体" w:cs="宋体"/>
                <w:sz w:val="22"/>
                <w:szCs w:val="22"/>
                <w:highlight w:val="none"/>
              </w:rPr>
            </w:pPr>
            <w:r>
              <w:rPr>
                <w:rFonts w:hint="eastAsia" w:ascii="宋体" w:hAnsi="宋体" w:eastAsia="宋体" w:cs="宋体"/>
                <w:sz w:val="22"/>
                <w:szCs w:val="20"/>
                <w:highlight w:val="none"/>
                <w:lang w:val="hr-HR"/>
              </w:rPr>
              <w:t>本项目专门面向中小企业采购</w:t>
            </w:r>
          </w:p>
        </w:tc>
        <w:tc>
          <w:tcPr>
            <w:tcW w:w="5910" w:type="dxa"/>
            <w:vAlign w:val="center"/>
          </w:tcPr>
          <w:p w14:paraId="04D99DFE">
            <w:pPr>
              <w:widowControl/>
              <w:adjustRightInd w:val="0"/>
              <w:snapToGrid w:val="0"/>
              <w:spacing w:line="240" w:lineRule="auto"/>
              <w:jc w:val="left"/>
              <w:rPr>
                <w:rFonts w:hint="eastAsia" w:ascii="宋体" w:hAnsi="宋体" w:eastAsia="宋体" w:cs="宋体"/>
                <w:sz w:val="22"/>
                <w:szCs w:val="20"/>
                <w:highlight w:val="none"/>
                <w:lang w:val="en-US" w:eastAsia="zh-CN"/>
              </w:rPr>
            </w:pPr>
            <w:r>
              <w:rPr>
                <w:rFonts w:hint="eastAsia" w:ascii="宋体" w:hAnsi="宋体" w:eastAsia="宋体" w:cs="宋体"/>
                <w:sz w:val="22"/>
                <w:szCs w:val="20"/>
                <w:highlight w:val="none"/>
                <w:lang w:val="en-US" w:eastAsia="zh-CN"/>
              </w:rPr>
              <w:t>提供《中小企业声明函》。</w:t>
            </w:r>
          </w:p>
        </w:tc>
      </w:tr>
      <w:tr w14:paraId="5B35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706" w:type="dxa"/>
            <w:vAlign w:val="center"/>
          </w:tcPr>
          <w:p w14:paraId="2E2270B3">
            <w:pPr>
              <w:widowControl/>
              <w:adjustRightInd w:val="0"/>
              <w:snapToGrid w:val="0"/>
              <w:spacing w:line="240" w:lineRule="auto"/>
              <w:jc w:val="center"/>
              <w:rPr>
                <w:rFonts w:hint="default" w:ascii="宋体" w:hAnsi="宋体" w:eastAsia="宋体" w:cs="宋体"/>
                <w:kern w:val="0"/>
                <w:sz w:val="22"/>
                <w:szCs w:val="20"/>
                <w:lang w:val="en-US" w:eastAsia="zh-CN"/>
              </w:rPr>
            </w:pPr>
            <w:r>
              <w:rPr>
                <w:rFonts w:hint="eastAsia" w:ascii="宋体" w:hAnsi="宋体" w:eastAsia="宋体" w:cs="宋体"/>
                <w:kern w:val="0"/>
                <w:sz w:val="22"/>
                <w:szCs w:val="20"/>
                <w:lang w:val="en-US" w:eastAsia="zh-CN"/>
              </w:rPr>
              <w:t>10</w:t>
            </w:r>
          </w:p>
        </w:tc>
        <w:tc>
          <w:tcPr>
            <w:tcW w:w="2843" w:type="dxa"/>
            <w:vAlign w:val="center"/>
          </w:tcPr>
          <w:p w14:paraId="3971D3CC">
            <w:pPr>
              <w:widowControl/>
              <w:adjustRightInd w:val="0"/>
              <w:snapToGrid w:val="0"/>
              <w:spacing w:line="240" w:lineRule="auto"/>
              <w:jc w:val="left"/>
              <w:rPr>
                <w:rFonts w:hint="eastAsia" w:ascii="宋体" w:hAnsi="宋体" w:eastAsia="宋体" w:cs="宋体"/>
                <w:sz w:val="22"/>
                <w:szCs w:val="20"/>
                <w:highlight w:val="none"/>
                <w:lang w:val="hr-HR" w:eastAsia="zh-CN"/>
              </w:rPr>
            </w:pPr>
            <w:r>
              <w:rPr>
                <w:rFonts w:hint="eastAsia" w:ascii="宋体" w:hAnsi="宋体" w:eastAsia="宋体" w:cs="宋体"/>
                <w:sz w:val="22"/>
                <w:szCs w:val="20"/>
                <w:highlight w:val="none"/>
                <w:lang w:val="en-US" w:eastAsia="zh-CN"/>
              </w:rPr>
              <w:t>特定资格要求</w:t>
            </w:r>
          </w:p>
        </w:tc>
        <w:tc>
          <w:tcPr>
            <w:tcW w:w="5910" w:type="dxa"/>
            <w:vAlign w:val="center"/>
          </w:tcPr>
          <w:p w14:paraId="14475302">
            <w:pPr>
              <w:widowControl/>
              <w:adjustRightInd w:val="0"/>
              <w:snapToGrid w:val="0"/>
              <w:spacing w:line="240" w:lineRule="auto"/>
              <w:jc w:val="left"/>
              <w:rPr>
                <w:rFonts w:hint="eastAsia" w:ascii="宋体" w:hAnsi="宋体" w:eastAsia="宋体" w:cs="宋体"/>
                <w:kern w:val="2"/>
                <w:sz w:val="22"/>
                <w:szCs w:val="20"/>
                <w:highlight w:val="none"/>
                <w:lang w:val="en-US" w:eastAsia="zh-CN" w:bidi="ar-SA"/>
              </w:rPr>
            </w:pPr>
            <w:r>
              <w:rPr>
                <w:rFonts w:hint="eastAsia" w:ascii="宋体" w:hAnsi="宋体" w:eastAsia="宋体" w:cs="宋体"/>
                <w:kern w:val="2"/>
                <w:sz w:val="22"/>
                <w:szCs w:val="20"/>
                <w:highlight w:val="none"/>
                <w:lang w:val="en-US" w:eastAsia="zh-CN" w:bidi="ar-SA"/>
              </w:rPr>
              <w:t>（1）供应商应具备建设行政主管部门颁发的房屋建筑工程和市政基础设施工程二类及以上施工图设计文件审查机构认定书，并在湖北省房屋建筑和市政基础设施工程施工图审查机构及人员名录内（省外施工图审查机构和审查人员进鄂无须办理备案，需在“湖北省建筑市场监督与诚信一体化平台”上完成信息录入，并提供截图）。</w:t>
            </w:r>
          </w:p>
          <w:p w14:paraId="6C73D7DC">
            <w:pPr>
              <w:widowControl/>
              <w:adjustRightInd w:val="0"/>
              <w:snapToGrid w:val="0"/>
              <w:spacing w:line="240" w:lineRule="auto"/>
              <w:jc w:val="left"/>
              <w:rPr>
                <w:rFonts w:hint="eastAsia" w:ascii="宋体" w:hAnsi="宋体" w:eastAsia="宋体" w:cs="宋体"/>
                <w:kern w:val="2"/>
                <w:sz w:val="22"/>
                <w:szCs w:val="20"/>
                <w:highlight w:val="none"/>
                <w:lang w:val="en-US" w:eastAsia="zh-CN" w:bidi="ar-SA"/>
              </w:rPr>
            </w:pPr>
            <w:r>
              <w:rPr>
                <w:rFonts w:hint="eastAsia" w:ascii="宋体" w:hAnsi="宋体" w:eastAsia="宋体" w:cs="宋体"/>
                <w:kern w:val="2"/>
                <w:sz w:val="22"/>
                <w:szCs w:val="20"/>
                <w:highlight w:val="none"/>
                <w:lang w:val="en-US" w:eastAsia="zh-CN" w:bidi="ar-SA"/>
              </w:rPr>
              <w:t>（2）供应商拟派本项目的项目负责人应具有一级注册建筑工程师执业资格。</w:t>
            </w:r>
          </w:p>
        </w:tc>
      </w:tr>
    </w:tbl>
    <w:p w14:paraId="652F7736">
      <w:pPr>
        <w:spacing w:line="360" w:lineRule="auto"/>
        <w:jc w:val="left"/>
        <w:rPr>
          <w:rFonts w:hint="eastAsia" w:ascii="宋体" w:hAnsi="宋体" w:eastAsia="宋体" w:cs="Times New Roman"/>
          <w:b/>
          <w:bCs/>
          <w:sz w:val="22"/>
          <w:szCs w:val="21"/>
        </w:rPr>
      </w:pPr>
    </w:p>
    <w:p w14:paraId="3F172BA7">
      <w:pPr>
        <w:spacing w:line="360" w:lineRule="auto"/>
        <w:jc w:val="left"/>
        <w:rPr>
          <w:rFonts w:hint="eastAsia" w:ascii="宋体" w:hAnsi="宋体" w:eastAsia="宋体" w:cs="Times New Roman"/>
          <w:b/>
          <w:bCs/>
          <w:sz w:val="22"/>
          <w:szCs w:val="21"/>
        </w:rPr>
      </w:pPr>
      <w:r>
        <w:rPr>
          <w:rFonts w:hint="eastAsia" w:ascii="宋体" w:hAnsi="宋体" w:eastAsia="宋体" w:cs="Times New Roman"/>
          <w:b/>
          <w:bCs/>
          <w:sz w:val="22"/>
          <w:szCs w:val="21"/>
        </w:rPr>
        <w:t>备注：</w:t>
      </w:r>
    </w:p>
    <w:p w14:paraId="5159E304">
      <w:pPr>
        <w:numPr>
          <w:ilvl w:val="0"/>
          <w:numId w:val="6"/>
        </w:numPr>
        <w:spacing w:line="360" w:lineRule="auto"/>
        <w:ind w:firstLine="440" w:firstLineChars="200"/>
        <w:jc w:val="left"/>
        <w:rPr>
          <w:rFonts w:ascii="宋体" w:hAnsi="宋体" w:eastAsia="宋体" w:cs="Times New Roman"/>
          <w:sz w:val="22"/>
          <w:szCs w:val="21"/>
        </w:rPr>
      </w:pPr>
      <w:r>
        <w:rPr>
          <w:rFonts w:hint="eastAsia" w:ascii="宋体" w:hAnsi="宋体" w:eastAsia="宋体" w:cs="Times New Roman"/>
          <w:sz w:val="22"/>
          <w:szCs w:val="21"/>
        </w:rPr>
        <w:t>资格证明文件应为原件的扫描件或复印件，响应文件中须编入清晰的扫描件或复印件。所有证明材料须清晰可辨认，如因证明材料模糊无法辨认，缺页、漏页导致无法进行评审认定的责任由供应商自负。</w:t>
      </w:r>
    </w:p>
    <w:p w14:paraId="2ED11721">
      <w:pPr>
        <w:numPr>
          <w:ilvl w:val="0"/>
          <w:numId w:val="6"/>
        </w:numPr>
        <w:spacing w:line="360" w:lineRule="auto"/>
        <w:ind w:firstLine="440" w:firstLineChars="200"/>
        <w:jc w:val="left"/>
        <w:rPr>
          <w:rFonts w:ascii="宋体" w:hAnsi="宋体" w:eastAsia="宋体" w:cs="Times New Roman"/>
          <w:sz w:val="22"/>
          <w:szCs w:val="21"/>
        </w:rPr>
      </w:pPr>
      <w:r>
        <w:rPr>
          <w:rFonts w:hint="eastAsia" w:ascii="宋体" w:hAnsi="宋体" w:eastAsia="宋体" w:cs="Times New Roman"/>
          <w:sz w:val="22"/>
          <w:szCs w:val="21"/>
        </w:rPr>
        <w:t>对于响应文件中有任意一条不满足上表要求的将导致其</w:t>
      </w:r>
      <w:r>
        <w:rPr>
          <w:rFonts w:hint="eastAsia" w:ascii="宋体" w:hAnsi="宋体" w:eastAsia="宋体" w:cs="Times New Roman"/>
          <w:b/>
          <w:bCs/>
          <w:sz w:val="22"/>
          <w:szCs w:val="21"/>
        </w:rPr>
        <w:t>响应无效</w:t>
      </w:r>
      <w:r>
        <w:rPr>
          <w:rFonts w:hint="eastAsia" w:ascii="宋体" w:hAnsi="宋体" w:eastAsia="宋体" w:cs="Times New Roman"/>
          <w:sz w:val="22"/>
          <w:szCs w:val="21"/>
        </w:rPr>
        <w:t>，不进入下一项评审。</w:t>
      </w:r>
    </w:p>
    <w:p w14:paraId="140E7D78">
      <w:pPr>
        <w:keepNext/>
        <w:keepLines/>
        <w:widowControl w:val="0"/>
        <w:numPr>
          <w:ilvl w:val="0"/>
          <w:numId w:val="5"/>
        </w:numPr>
        <w:spacing w:before="260" w:after="260" w:line="416" w:lineRule="auto"/>
        <w:ind w:left="420" w:hanging="420"/>
        <w:outlineLvl w:val="2"/>
        <w:rPr>
          <w:rFonts w:ascii="宋体" w:hAnsi="宋体" w:eastAsia="宋体" w:cs="Times New Roman"/>
          <w:b/>
          <w:bCs/>
          <w:kern w:val="2"/>
          <w:sz w:val="28"/>
          <w:szCs w:val="28"/>
          <w:lang w:val="en-US" w:eastAsia="zh-CN" w:bidi="ar-SA"/>
        </w:rPr>
      </w:pPr>
      <w:bookmarkStart w:id="101" w:name="_Toc163493639"/>
      <w:r>
        <w:rPr>
          <w:rFonts w:hint="eastAsia" w:ascii="宋体" w:hAnsi="宋体" w:eastAsia="宋体" w:cs="Times New Roman"/>
          <w:b/>
          <w:bCs/>
          <w:kern w:val="2"/>
          <w:sz w:val="28"/>
          <w:szCs w:val="28"/>
          <w:lang w:val="en-US" w:eastAsia="zh-CN" w:bidi="ar-SA"/>
        </w:rPr>
        <w:t>符合性审查表</w:t>
      </w:r>
      <w:bookmarkEnd w:id="100"/>
      <w:bookmarkEnd w:id="101"/>
    </w:p>
    <w:p w14:paraId="5CF16364">
      <w:pPr>
        <w:keepNext w:val="0"/>
        <w:keepLines w:val="0"/>
        <w:pageBreakBefore w:val="0"/>
        <w:widowControl w:val="0"/>
        <w:kinsoku/>
        <w:wordWrap/>
        <w:overflowPunct/>
        <w:topLinePunct w:val="0"/>
        <w:autoSpaceDE/>
        <w:autoSpaceDN/>
        <w:bidi w:val="0"/>
        <w:adjustRightInd/>
        <w:snapToGrid/>
        <w:spacing w:line="420" w:lineRule="exact"/>
        <w:ind w:firstLine="440" w:firstLineChars="200"/>
        <w:jc w:val="both"/>
        <w:textAlignment w:val="auto"/>
        <w:rPr>
          <w:rFonts w:hint="eastAsia" w:ascii="宋体" w:hAnsi="宋体" w:eastAsia="宋体" w:cs="Times New Roman"/>
          <w:kern w:val="2"/>
          <w:sz w:val="22"/>
          <w:szCs w:val="21"/>
          <w:lang w:val="zh-CN" w:eastAsia="zh-CN" w:bidi="ar-SA"/>
        </w:rPr>
      </w:pPr>
      <w:r>
        <w:rPr>
          <w:rFonts w:hint="eastAsia" w:ascii="宋体" w:hAnsi="宋体" w:eastAsia="宋体" w:cs="Times New Roman"/>
          <w:kern w:val="2"/>
          <w:sz w:val="22"/>
          <w:szCs w:val="21"/>
          <w:lang w:val="zh-CN" w:eastAsia="zh-CN" w:bidi="ar-SA"/>
        </w:rPr>
        <w:t>磋商小组应当对符合资格的供应商的响应文件进行符合性审查，以确定其是否满足磋商文件的实质性要求。符合性审查合格</w:t>
      </w:r>
      <w:r>
        <w:rPr>
          <w:rFonts w:hint="eastAsia" w:ascii="宋体" w:hAnsi="宋体" w:eastAsia="宋体" w:cs="Times New Roman"/>
          <w:kern w:val="2"/>
          <w:sz w:val="22"/>
          <w:szCs w:val="21"/>
          <w:lang w:val="en-US" w:eastAsia="zh-CN" w:bidi="ar-SA"/>
        </w:rPr>
        <w:t>供应商</w:t>
      </w:r>
      <w:r>
        <w:rPr>
          <w:rFonts w:hint="eastAsia" w:ascii="宋体" w:hAnsi="宋体" w:eastAsia="宋体" w:cs="Times New Roman"/>
          <w:kern w:val="2"/>
          <w:sz w:val="22"/>
          <w:szCs w:val="21"/>
          <w:lang w:val="zh-CN" w:eastAsia="zh-CN" w:bidi="ar-SA"/>
        </w:rPr>
        <w:t>不足3家的，不进行磋商，</w:t>
      </w:r>
      <w:r>
        <w:rPr>
          <w:rFonts w:hint="eastAsia" w:ascii="宋体" w:hAnsi="宋体" w:eastAsia="宋体" w:cs="Times New Roman"/>
          <w:kern w:val="2"/>
          <w:sz w:val="22"/>
          <w:szCs w:val="21"/>
          <w:lang w:val="en-US" w:eastAsia="zh-CN" w:bidi="ar-SA"/>
        </w:rPr>
        <w:t>但法律另有规定2家可以继续进行的情形除外，详见供应商须知正文。具体审查内容如下：</w:t>
      </w:r>
    </w:p>
    <w:tbl>
      <w:tblPr>
        <w:tblStyle w:val="24"/>
        <w:tblW w:w="861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977"/>
      </w:tblGrid>
      <w:tr w14:paraId="378C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2" w:type="dxa"/>
            <w:vAlign w:val="center"/>
          </w:tcPr>
          <w:p w14:paraId="54FC0836">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7977" w:type="dxa"/>
            <w:vAlign w:val="center"/>
          </w:tcPr>
          <w:p w14:paraId="43E04C8C">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审查内容</w:t>
            </w:r>
          </w:p>
        </w:tc>
      </w:tr>
      <w:tr w14:paraId="4806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42" w:type="dxa"/>
            <w:vAlign w:val="center"/>
          </w:tcPr>
          <w:p w14:paraId="6FD56726">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7977" w:type="dxa"/>
            <w:vAlign w:val="center"/>
          </w:tcPr>
          <w:p w14:paraId="6A3F6648">
            <w:pPr>
              <w:spacing w:line="240" w:lineRule="auto"/>
              <w:jc w:val="left"/>
              <w:rPr>
                <w:rFonts w:hint="eastAsia" w:ascii="宋体" w:hAnsi="宋体" w:eastAsia="宋体" w:cs="宋体"/>
                <w:sz w:val="22"/>
                <w:szCs w:val="22"/>
                <w:vertAlign w:val="baseline"/>
                <w:lang w:val="zh-CN"/>
              </w:rPr>
            </w:pPr>
            <w:r>
              <w:rPr>
                <w:rFonts w:hint="eastAsia" w:ascii="宋体" w:hAnsi="宋体" w:eastAsia="宋体" w:cs="宋体"/>
                <w:sz w:val="22"/>
                <w:szCs w:val="22"/>
                <w:vertAlign w:val="baseline"/>
                <w:lang w:val="zh-CN"/>
              </w:rPr>
              <w:t>投标报价超过项目（分包）预算金额或最高限价的；</w:t>
            </w:r>
          </w:p>
        </w:tc>
      </w:tr>
      <w:tr w14:paraId="37A1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42" w:type="dxa"/>
            <w:vAlign w:val="center"/>
          </w:tcPr>
          <w:p w14:paraId="533FDD65">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7977" w:type="dxa"/>
            <w:vAlign w:val="center"/>
          </w:tcPr>
          <w:p w14:paraId="6A4E2DCA">
            <w:pPr>
              <w:spacing w:line="240" w:lineRule="auto"/>
              <w:jc w:val="left"/>
              <w:rPr>
                <w:rFonts w:hint="eastAsia" w:ascii="宋体" w:hAnsi="宋体" w:eastAsia="宋体" w:cs="宋体"/>
                <w:sz w:val="22"/>
                <w:szCs w:val="22"/>
                <w:vertAlign w:val="baseline"/>
                <w:lang w:val="zh-CN"/>
              </w:rPr>
            </w:pPr>
            <w:r>
              <w:rPr>
                <w:rFonts w:hint="eastAsia" w:ascii="宋体" w:hAnsi="宋体" w:eastAsia="宋体" w:cs="宋体"/>
                <w:sz w:val="22"/>
                <w:szCs w:val="22"/>
                <w:lang w:val="zh-CN"/>
              </w:rPr>
              <w:t>供应商</w:t>
            </w:r>
            <w:r>
              <w:rPr>
                <w:rFonts w:hint="eastAsia" w:ascii="宋体" w:hAnsi="宋体" w:eastAsia="宋体" w:cs="宋体"/>
                <w:sz w:val="22"/>
                <w:szCs w:val="22"/>
                <w:lang w:val="en-US" w:eastAsia="zh-CN"/>
              </w:rPr>
              <w:t>是否</w:t>
            </w:r>
            <w:r>
              <w:rPr>
                <w:rFonts w:hint="eastAsia" w:ascii="宋体" w:hAnsi="宋体" w:eastAsia="宋体" w:cs="宋体"/>
                <w:sz w:val="22"/>
                <w:szCs w:val="22"/>
                <w:lang w:val="zh-CN"/>
              </w:rPr>
              <w:t>按采购文件要求提供《</w:t>
            </w:r>
            <w:r>
              <w:rPr>
                <w:rFonts w:hint="eastAsia" w:ascii="宋体" w:hAnsi="宋体" w:eastAsia="宋体" w:cs="宋体"/>
                <w:sz w:val="22"/>
                <w:szCs w:val="22"/>
                <w:lang w:val="en-US" w:eastAsia="zh-CN"/>
              </w:rPr>
              <w:t>磋商书</w:t>
            </w:r>
            <w:r>
              <w:rPr>
                <w:rFonts w:hint="eastAsia" w:ascii="宋体" w:hAnsi="宋体" w:eastAsia="宋体" w:cs="宋体"/>
                <w:sz w:val="22"/>
                <w:szCs w:val="22"/>
                <w:lang w:val="zh-CN"/>
              </w:rPr>
              <w:t>》、</w:t>
            </w:r>
            <w:r>
              <w:rPr>
                <w:rFonts w:hint="eastAsia" w:ascii="宋体" w:hAnsi="宋体" w:eastAsia="宋体" w:cs="宋体"/>
                <w:sz w:val="22"/>
                <w:szCs w:val="22"/>
                <w:lang w:val="zh-CN" w:eastAsia="zh-CN"/>
              </w:rPr>
              <w:t>《</w:t>
            </w:r>
            <w:r>
              <w:rPr>
                <w:rFonts w:hint="eastAsia" w:ascii="宋体" w:hAnsi="宋体" w:eastAsia="宋体" w:cs="宋体"/>
                <w:sz w:val="22"/>
                <w:szCs w:val="22"/>
                <w:lang w:val="en-US" w:eastAsia="zh-CN"/>
              </w:rPr>
              <w:t>法定代表人（负责人）身份证明》或</w:t>
            </w:r>
            <w:r>
              <w:rPr>
                <w:rFonts w:hint="eastAsia" w:ascii="宋体" w:hAnsi="宋体" w:eastAsia="宋体" w:cs="宋体"/>
                <w:sz w:val="22"/>
                <w:szCs w:val="22"/>
                <w:lang w:val="zh-CN" w:eastAsia="zh-CN"/>
              </w:rPr>
              <w:t>《法定代表人（</w:t>
            </w:r>
            <w:r>
              <w:rPr>
                <w:rFonts w:hint="eastAsia" w:ascii="宋体" w:hAnsi="宋体" w:eastAsia="宋体" w:cs="宋体"/>
                <w:sz w:val="22"/>
                <w:szCs w:val="22"/>
                <w:lang w:val="en-US" w:eastAsia="zh-CN"/>
              </w:rPr>
              <w:t>负责人）</w:t>
            </w:r>
            <w:r>
              <w:rPr>
                <w:rFonts w:hint="eastAsia" w:ascii="宋体" w:hAnsi="宋体" w:eastAsia="宋体" w:cs="宋体"/>
                <w:sz w:val="22"/>
                <w:szCs w:val="22"/>
                <w:lang w:val="zh-CN" w:eastAsia="zh-CN"/>
              </w:rPr>
              <w:t>授权书》；</w:t>
            </w:r>
          </w:p>
        </w:tc>
      </w:tr>
      <w:tr w14:paraId="4D00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2" w:type="dxa"/>
            <w:vAlign w:val="center"/>
          </w:tcPr>
          <w:p w14:paraId="595BD61F">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7977" w:type="dxa"/>
            <w:vAlign w:val="center"/>
          </w:tcPr>
          <w:p w14:paraId="550EA072">
            <w:pPr>
              <w:spacing w:line="240" w:lineRule="auto"/>
              <w:jc w:val="left"/>
              <w:rPr>
                <w:rFonts w:hint="eastAsia" w:ascii="宋体" w:hAnsi="宋体" w:eastAsia="宋体" w:cs="宋体"/>
                <w:sz w:val="22"/>
                <w:szCs w:val="22"/>
                <w:vertAlign w:val="baseline"/>
                <w:lang w:val="zh-CN"/>
              </w:rPr>
            </w:pPr>
            <w:r>
              <w:rPr>
                <w:rFonts w:hint="eastAsia" w:ascii="宋体" w:hAnsi="宋体" w:eastAsia="宋体" w:cs="宋体"/>
                <w:sz w:val="22"/>
                <w:szCs w:val="22"/>
                <w:vertAlign w:val="baseline"/>
                <w:lang w:val="en-US" w:eastAsia="zh-CN"/>
              </w:rPr>
              <w:t>服务期是否</w:t>
            </w:r>
            <w:r>
              <w:rPr>
                <w:rFonts w:hint="eastAsia" w:ascii="宋体" w:hAnsi="宋体" w:eastAsia="宋体" w:cs="宋体"/>
                <w:sz w:val="22"/>
                <w:szCs w:val="22"/>
                <w:vertAlign w:val="baseline"/>
                <w:lang w:val="zh-CN"/>
              </w:rPr>
              <w:t>符合文件要求；</w:t>
            </w:r>
          </w:p>
        </w:tc>
      </w:tr>
      <w:tr w14:paraId="7D72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2" w:type="dxa"/>
            <w:vAlign w:val="center"/>
          </w:tcPr>
          <w:p w14:paraId="59D93ADD">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7977" w:type="dxa"/>
            <w:vAlign w:val="center"/>
          </w:tcPr>
          <w:p w14:paraId="3E7AB3CE">
            <w:pPr>
              <w:spacing w:line="240" w:lineRule="auto"/>
              <w:jc w:val="left"/>
              <w:rPr>
                <w:rFonts w:hint="eastAsia" w:ascii="宋体" w:hAnsi="宋体" w:eastAsia="宋体" w:cs="宋体"/>
                <w:sz w:val="22"/>
                <w:szCs w:val="22"/>
                <w:vertAlign w:val="baseline"/>
                <w:lang w:val="zh-CN"/>
              </w:rPr>
            </w:pPr>
            <w:r>
              <w:rPr>
                <w:rFonts w:hint="eastAsia" w:ascii="宋体" w:hAnsi="宋体" w:eastAsia="宋体" w:cs="宋体"/>
                <w:sz w:val="22"/>
                <w:szCs w:val="22"/>
                <w:lang w:val="en-US" w:eastAsia="zh-CN"/>
              </w:rPr>
              <w:t>是否</w:t>
            </w:r>
            <w:r>
              <w:rPr>
                <w:rFonts w:hint="eastAsia" w:ascii="宋体" w:hAnsi="宋体" w:eastAsia="宋体" w:cs="宋体"/>
                <w:sz w:val="22"/>
                <w:szCs w:val="22"/>
                <w:lang w:val="zh-CN"/>
              </w:rPr>
              <w:t>递交两个或两个以上不同报价；</w:t>
            </w:r>
          </w:p>
        </w:tc>
      </w:tr>
      <w:tr w14:paraId="05CC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2" w:type="dxa"/>
            <w:vAlign w:val="center"/>
          </w:tcPr>
          <w:p w14:paraId="3367D562">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c>
          <w:tcPr>
            <w:tcW w:w="7977" w:type="dxa"/>
            <w:vAlign w:val="center"/>
          </w:tcPr>
          <w:p w14:paraId="302DA577">
            <w:pPr>
              <w:spacing w:line="240" w:lineRule="auto"/>
              <w:jc w:val="left"/>
              <w:rPr>
                <w:rFonts w:hint="eastAsia" w:ascii="宋体" w:hAnsi="宋体" w:eastAsia="宋体" w:cs="宋体"/>
                <w:sz w:val="22"/>
                <w:szCs w:val="22"/>
                <w:vertAlign w:val="baseline"/>
                <w:lang w:val="zh-CN"/>
              </w:rPr>
            </w:pPr>
            <w:r>
              <w:rPr>
                <w:rFonts w:hint="eastAsia" w:ascii="宋体" w:hAnsi="宋体" w:eastAsia="宋体" w:cs="宋体"/>
                <w:sz w:val="22"/>
                <w:szCs w:val="22"/>
                <w:lang w:val="en-US" w:eastAsia="zh-CN"/>
              </w:rPr>
              <w:t>是否</w:t>
            </w:r>
            <w:r>
              <w:rPr>
                <w:rFonts w:hint="eastAsia" w:ascii="宋体" w:hAnsi="宋体" w:eastAsia="宋体" w:cs="宋体"/>
                <w:sz w:val="22"/>
                <w:szCs w:val="22"/>
                <w:lang w:val="zh-CN"/>
              </w:rPr>
              <w:t>递交两个或两个以上</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方案；</w:t>
            </w:r>
          </w:p>
        </w:tc>
      </w:tr>
      <w:tr w14:paraId="5EEA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2" w:type="dxa"/>
            <w:vAlign w:val="center"/>
          </w:tcPr>
          <w:p w14:paraId="6954B99F">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7977" w:type="dxa"/>
            <w:vAlign w:val="center"/>
          </w:tcPr>
          <w:p w14:paraId="4060584D">
            <w:pPr>
              <w:spacing w:line="240" w:lineRule="auto"/>
              <w:jc w:val="left"/>
              <w:rPr>
                <w:rFonts w:hint="eastAsia" w:ascii="宋体" w:hAnsi="宋体" w:eastAsia="宋体" w:cs="宋体"/>
                <w:sz w:val="22"/>
                <w:szCs w:val="22"/>
                <w:vertAlign w:val="baseline"/>
                <w:lang w:val="zh-CN"/>
              </w:rPr>
            </w:pP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报价</w:t>
            </w:r>
            <w:r>
              <w:rPr>
                <w:rFonts w:hint="eastAsia" w:ascii="宋体" w:hAnsi="宋体" w:eastAsia="宋体" w:cs="宋体"/>
                <w:sz w:val="22"/>
                <w:szCs w:val="22"/>
                <w:lang w:val="en-US" w:eastAsia="zh-CN"/>
              </w:rPr>
              <w:t>是否</w:t>
            </w:r>
            <w:r>
              <w:rPr>
                <w:rFonts w:hint="eastAsia" w:ascii="宋体" w:hAnsi="宋体" w:eastAsia="宋体" w:cs="宋体"/>
                <w:sz w:val="22"/>
                <w:szCs w:val="22"/>
                <w:lang w:val="zh-CN"/>
              </w:rPr>
              <w:t>存在缺项、漏项；</w:t>
            </w:r>
          </w:p>
        </w:tc>
      </w:tr>
      <w:tr w14:paraId="4541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2" w:type="dxa"/>
            <w:vAlign w:val="center"/>
          </w:tcPr>
          <w:p w14:paraId="6916B818">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7977" w:type="dxa"/>
            <w:vAlign w:val="center"/>
          </w:tcPr>
          <w:p w14:paraId="55588E66">
            <w:pPr>
              <w:spacing w:line="240" w:lineRule="auto"/>
              <w:jc w:val="left"/>
              <w:rPr>
                <w:rFonts w:hint="eastAsia" w:ascii="宋体" w:hAnsi="宋体" w:eastAsia="宋体" w:cs="宋体"/>
                <w:sz w:val="22"/>
                <w:szCs w:val="22"/>
                <w:vertAlign w:val="baseline"/>
                <w:lang w:val="zh-CN"/>
              </w:rPr>
            </w:pP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有效期</w:t>
            </w:r>
            <w:r>
              <w:rPr>
                <w:rFonts w:hint="eastAsia" w:ascii="宋体" w:hAnsi="宋体" w:eastAsia="宋体" w:cs="宋体"/>
                <w:sz w:val="22"/>
                <w:szCs w:val="22"/>
                <w:lang w:val="en-US" w:eastAsia="zh-CN"/>
              </w:rPr>
              <w:t>是否</w:t>
            </w:r>
            <w:r>
              <w:rPr>
                <w:rFonts w:hint="eastAsia" w:ascii="宋体" w:hAnsi="宋体" w:eastAsia="宋体" w:cs="宋体"/>
                <w:sz w:val="22"/>
                <w:szCs w:val="22"/>
                <w:lang w:val="zh-CN"/>
              </w:rPr>
              <w:t>满足采购文件要求；</w:t>
            </w:r>
          </w:p>
        </w:tc>
      </w:tr>
      <w:tr w14:paraId="3A4E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2" w:type="dxa"/>
            <w:vAlign w:val="center"/>
          </w:tcPr>
          <w:p w14:paraId="49EFBF86">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7977" w:type="dxa"/>
            <w:vAlign w:val="center"/>
          </w:tcPr>
          <w:p w14:paraId="32EFFA12">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文件中</w:t>
            </w:r>
            <w:r>
              <w:rPr>
                <w:rFonts w:hint="eastAsia" w:ascii="宋体" w:hAnsi="宋体" w:eastAsia="宋体" w:cs="宋体"/>
                <w:sz w:val="22"/>
                <w:szCs w:val="22"/>
                <w:lang w:val="en-US" w:eastAsia="zh-CN"/>
              </w:rPr>
              <w:t>是否</w:t>
            </w:r>
            <w:r>
              <w:rPr>
                <w:rFonts w:hint="eastAsia" w:ascii="宋体" w:hAnsi="宋体" w:eastAsia="宋体" w:cs="宋体"/>
                <w:sz w:val="22"/>
                <w:szCs w:val="22"/>
                <w:lang w:val="zh-CN"/>
              </w:rPr>
              <w:t>含有采购人不能接受的附加条件；</w:t>
            </w:r>
          </w:p>
        </w:tc>
      </w:tr>
      <w:tr w14:paraId="1A14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2" w:type="dxa"/>
            <w:vAlign w:val="center"/>
          </w:tcPr>
          <w:p w14:paraId="7A694D06">
            <w:pPr>
              <w:spacing w:line="240" w:lineRule="auto"/>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7977" w:type="dxa"/>
            <w:vAlign w:val="center"/>
          </w:tcPr>
          <w:p w14:paraId="48D8518B">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是否</w:t>
            </w:r>
            <w:r>
              <w:rPr>
                <w:rFonts w:hint="eastAsia" w:ascii="宋体" w:hAnsi="宋体" w:eastAsia="宋体" w:cs="宋体"/>
                <w:sz w:val="22"/>
                <w:szCs w:val="22"/>
                <w:lang w:val="zh-CN"/>
              </w:rPr>
              <w:t>存在法律、法规和</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文件规定的其他无效</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情形；</w:t>
            </w:r>
          </w:p>
        </w:tc>
      </w:tr>
    </w:tbl>
    <w:p w14:paraId="7D1CA9C9"/>
    <w:p w14:paraId="1C58E8AA">
      <w:pPr>
        <w:jc w:val="left"/>
        <w:rPr>
          <w:rFonts w:hint="eastAsia" w:ascii="黑体" w:hAnsi="黑体" w:eastAsia="黑体"/>
          <w:color w:val="auto"/>
          <w:sz w:val="24"/>
          <w:szCs w:val="24"/>
          <w:highlight w:val="none"/>
        </w:rPr>
      </w:pPr>
    </w:p>
    <w:p w14:paraId="7EB41CDE">
      <w:pPr>
        <w:jc w:val="both"/>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w:t>
      </w:r>
      <w:r>
        <w:rPr>
          <w:rFonts w:hint="eastAsia" w:ascii="黑体" w:hAnsi="黑体" w:eastAsia="黑体"/>
          <w:color w:val="auto"/>
          <w:sz w:val="24"/>
          <w:szCs w:val="24"/>
          <w:highlight w:val="none"/>
          <w:lang w:val="en-US" w:eastAsia="zh-CN"/>
        </w:rPr>
        <w:t>三</w:t>
      </w:r>
      <w:r>
        <w:rPr>
          <w:rFonts w:hint="eastAsia" w:ascii="黑体" w:hAnsi="黑体" w:eastAsia="黑体"/>
          <w:color w:val="auto"/>
          <w:sz w:val="24"/>
          <w:szCs w:val="24"/>
          <w:highlight w:val="none"/>
          <w:lang w:eastAsia="zh-CN"/>
        </w:rPr>
        <w:t>）</w:t>
      </w:r>
      <w:r>
        <w:rPr>
          <w:rFonts w:hint="eastAsia" w:ascii="黑体" w:hAnsi="黑体" w:eastAsia="黑体"/>
          <w:color w:val="auto"/>
          <w:sz w:val="24"/>
          <w:szCs w:val="24"/>
          <w:highlight w:val="none"/>
        </w:rPr>
        <w:t>评分标准</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292"/>
        <w:gridCol w:w="863"/>
        <w:gridCol w:w="5581"/>
      </w:tblGrid>
      <w:tr w14:paraId="61E4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Align w:val="center"/>
          </w:tcPr>
          <w:p w14:paraId="3646AF0C">
            <w:pPr>
              <w:spacing w:line="240" w:lineRule="auto"/>
              <w:jc w:val="left"/>
              <w:rPr>
                <w:rFonts w:hint="eastAsia" w:ascii="宋体" w:hAnsi="宋体" w:eastAsia="宋体" w:cs="宋体"/>
                <w:sz w:val="22"/>
                <w:szCs w:val="22"/>
                <w:lang w:val="en-US" w:eastAsia="zh-CN"/>
              </w:rPr>
            </w:pPr>
            <w:bookmarkStart w:id="102" w:name="_Toc16376_WPSOffice_Level1"/>
            <w:bookmarkStart w:id="103" w:name="_Toc23915_WPSOffice_Level1"/>
            <w:r>
              <w:rPr>
                <w:rFonts w:hint="eastAsia" w:ascii="宋体" w:hAnsi="宋体" w:eastAsia="宋体" w:cs="宋体"/>
                <w:sz w:val="22"/>
                <w:szCs w:val="22"/>
                <w:lang w:val="en-US" w:eastAsia="zh-CN"/>
              </w:rPr>
              <w:t>价格部分（20分）</w:t>
            </w:r>
          </w:p>
        </w:tc>
        <w:tc>
          <w:tcPr>
            <w:tcW w:w="712" w:type="pct"/>
            <w:tcBorders>
              <w:bottom w:val="single" w:color="auto" w:sz="4" w:space="0"/>
            </w:tcBorders>
            <w:vAlign w:val="center"/>
          </w:tcPr>
          <w:p w14:paraId="028735A3">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投标报价</w:t>
            </w:r>
          </w:p>
        </w:tc>
        <w:tc>
          <w:tcPr>
            <w:tcW w:w="476" w:type="pct"/>
            <w:vAlign w:val="center"/>
          </w:tcPr>
          <w:p w14:paraId="7E8B4F32">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w:t>
            </w:r>
          </w:p>
        </w:tc>
        <w:tc>
          <w:tcPr>
            <w:tcW w:w="3079" w:type="pct"/>
            <w:vAlign w:val="center"/>
          </w:tcPr>
          <w:p w14:paraId="1E317C8A">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价格分采用低价优先法计算，即满足招标文件要求且投标价格（落实政府采购政策进行价格调整的，以调整后的价格计算）最低的投标报价为评标基准价，其价格分为满分。其他投标人的价格分统一按下列公式计算：投标报价得分=（评标基准价/投标报价）×20（小数点后保留两位）</w:t>
            </w:r>
          </w:p>
        </w:tc>
      </w:tr>
      <w:tr w14:paraId="2349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restart"/>
            <w:vAlign w:val="center"/>
          </w:tcPr>
          <w:p w14:paraId="15BA2D84">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商务部分（30分）</w:t>
            </w:r>
          </w:p>
        </w:tc>
        <w:tc>
          <w:tcPr>
            <w:tcW w:w="712" w:type="pct"/>
            <w:tcBorders>
              <w:top w:val="single" w:color="auto" w:sz="4" w:space="0"/>
            </w:tcBorders>
            <w:vAlign w:val="center"/>
          </w:tcPr>
          <w:p w14:paraId="20EF01B0">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类似业绩</w:t>
            </w:r>
          </w:p>
        </w:tc>
        <w:tc>
          <w:tcPr>
            <w:tcW w:w="476" w:type="pct"/>
            <w:vAlign w:val="center"/>
          </w:tcPr>
          <w:p w14:paraId="5CC47219">
            <w:pPr>
              <w:spacing w:line="24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18</w:t>
            </w:r>
          </w:p>
        </w:tc>
        <w:tc>
          <w:tcPr>
            <w:tcW w:w="3079" w:type="pct"/>
            <w:vAlign w:val="center"/>
          </w:tcPr>
          <w:p w14:paraId="4B446830">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近三年（自投标截止时间前36个月，以合同签订时间为准）承担过类似本项目的施工图审查业绩,每提供一个业绩得6分，最高得18分。（业绩需提供服务合同及图审合格书，无法反映项目特征，需提供业主单位出具的补充证明材料）。</w:t>
            </w:r>
          </w:p>
        </w:tc>
      </w:tr>
      <w:tr w14:paraId="5546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293FC5E4">
            <w:pPr>
              <w:spacing w:line="240" w:lineRule="auto"/>
              <w:jc w:val="left"/>
              <w:rPr>
                <w:rFonts w:hint="eastAsia" w:ascii="宋体" w:hAnsi="宋体" w:eastAsia="宋体" w:cs="宋体"/>
                <w:sz w:val="22"/>
                <w:szCs w:val="22"/>
                <w:lang w:val="en-US" w:eastAsia="zh-CN"/>
              </w:rPr>
            </w:pPr>
          </w:p>
        </w:tc>
        <w:tc>
          <w:tcPr>
            <w:tcW w:w="712" w:type="pct"/>
            <w:tcBorders>
              <w:top w:val="single" w:color="auto" w:sz="4" w:space="0"/>
            </w:tcBorders>
            <w:vAlign w:val="center"/>
          </w:tcPr>
          <w:p w14:paraId="1F2295E0">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人员配备</w:t>
            </w:r>
          </w:p>
        </w:tc>
        <w:tc>
          <w:tcPr>
            <w:tcW w:w="476" w:type="pct"/>
            <w:vAlign w:val="center"/>
          </w:tcPr>
          <w:p w14:paraId="11E4521B">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3079" w:type="pct"/>
            <w:vAlign w:val="center"/>
          </w:tcPr>
          <w:p w14:paraId="0EA3C072">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（1）拟投入本项目的专业技术人员齐备，职责明确，专业配套，能满足采购人需求，得2分。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（2）以上人员具有具有注册执业资格证书和相关专业高级及以上技术职称的资格。每人得2分，最多得10分。（1个专业可委派多人，但同一人员的不同专业不重复得分）</w:t>
            </w:r>
          </w:p>
        </w:tc>
      </w:tr>
      <w:tr w14:paraId="1905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restart"/>
            <w:vAlign w:val="center"/>
          </w:tcPr>
          <w:p w14:paraId="39D52214">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技术部分（50分）</w:t>
            </w:r>
          </w:p>
        </w:tc>
        <w:tc>
          <w:tcPr>
            <w:tcW w:w="712" w:type="pct"/>
            <w:tcBorders>
              <w:top w:val="single" w:color="auto" w:sz="4" w:space="0"/>
            </w:tcBorders>
            <w:vAlign w:val="center"/>
          </w:tcPr>
          <w:p w14:paraId="7D57DF21">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实施方案</w:t>
            </w:r>
          </w:p>
        </w:tc>
        <w:tc>
          <w:tcPr>
            <w:tcW w:w="476" w:type="pct"/>
            <w:vAlign w:val="center"/>
          </w:tcPr>
          <w:p w14:paraId="75ACB0AE">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3079" w:type="pct"/>
            <w:vAlign w:val="center"/>
          </w:tcPr>
          <w:p w14:paraId="3CB2729A">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1、清楚阐述审查工作的思路，总体把握切合实际得 2 分，基本符合实际得 1 分，不合理或未提供不得分； </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 xml:space="preserve">2、按规定程序审查，审查流程清晰规范得 2 分，审查流程不清晰或有漏洞得 1 分，不合理或未提供不得分； </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 xml:space="preserve">3、审查质量、效率保障措施科学合理得 2 分，基本合理得 1 分，不合理或未提供不得分； </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4、工作计划包含人员责任分工、工作流程、资料收集、信息反馈、沟通协调成果要求、时限管控、档案管理、优化服务等方面，且各方面计划均切合实际、合理可行得 4 分；工作计划基本完整，且内容合理可行得 2 分；工作计划在内容完整性及可行性上有较大漏洞得 1 分；不合理或未提供不得分；</w:t>
            </w:r>
          </w:p>
        </w:tc>
      </w:tr>
      <w:tr w14:paraId="6ACB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6CBDF36E">
            <w:pPr>
              <w:spacing w:line="240" w:lineRule="auto"/>
              <w:jc w:val="left"/>
              <w:rPr>
                <w:rFonts w:hint="eastAsia" w:ascii="宋体" w:hAnsi="宋体" w:eastAsia="宋体" w:cs="宋体"/>
                <w:sz w:val="22"/>
                <w:szCs w:val="22"/>
                <w:lang w:val="en-US" w:eastAsia="zh-CN"/>
              </w:rPr>
            </w:pPr>
          </w:p>
        </w:tc>
        <w:tc>
          <w:tcPr>
            <w:tcW w:w="712" w:type="pct"/>
            <w:vAlign w:val="center"/>
          </w:tcPr>
          <w:p w14:paraId="27AB95A4">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人力资源 </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配置方案</w:t>
            </w:r>
          </w:p>
        </w:tc>
        <w:tc>
          <w:tcPr>
            <w:tcW w:w="476" w:type="pct"/>
            <w:vAlign w:val="center"/>
          </w:tcPr>
          <w:p w14:paraId="1800C161">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3079" w:type="pct"/>
            <w:vAlign w:val="center"/>
          </w:tcPr>
          <w:p w14:paraId="703E20AB">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机构的设置科学合理，分工与职责明确、审核人员配置专业齐全、数量合理能完全满足工作需要的得 8 分；机构设置及人员配备基本合理，基本符合项目需要得 7 分；机构设置及人员配备有漏洞，可能影响工作任务保质保量完成得 6分；机构设置及人员配备有明显的缺陷，难以满足项目需要得3分；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未提供相关内容不得分。</w:t>
            </w:r>
          </w:p>
        </w:tc>
      </w:tr>
      <w:tr w14:paraId="1131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7475D388">
            <w:pPr>
              <w:spacing w:line="240" w:lineRule="auto"/>
              <w:jc w:val="left"/>
              <w:rPr>
                <w:rFonts w:hint="eastAsia" w:ascii="宋体" w:hAnsi="宋体" w:eastAsia="宋体" w:cs="宋体"/>
                <w:sz w:val="22"/>
                <w:szCs w:val="22"/>
                <w:lang w:val="en-US" w:eastAsia="zh-CN"/>
              </w:rPr>
            </w:pPr>
          </w:p>
        </w:tc>
        <w:tc>
          <w:tcPr>
            <w:tcW w:w="712" w:type="pct"/>
            <w:tcBorders>
              <w:top w:val="single" w:color="auto" w:sz="4" w:space="0"/>
              <w:bottom w:val="single" w:color="auto" w:sz="4" w:space="0"/>
            </w:tcBorders>
            <w:vAlign w:val="center"/>
          </w:tcPr>
          <w:p w14:paraId="5C338A39">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图审质量</w:t>
            </w:r>
          </w:p>
        </w:tc>
        <w:tc>
          <w:tcPr>
            <w:tcW w:w="476" w:type="pct"/>
            <w:vAlign w:val="center"/>
          </w:tcPr>
          <w:p w14:paraId="61CF9099">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3079" w:type="pct"/>
            <w:vAlign w:val="center"/>
          </w:tcPr>
          <w:p w14:paraId="7F987DBA">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根据近三年已完成图审项目的委托单位出具委托文件、审查主要过程资料成果资料（施工图审查合格书及其他成果文件）进行评审（只提供1个项目资料即可）：资料及内容完备、编制水平高、 针对性强得 8分；资料及内容基本完备、基本符合项目实际情况 得 6 分；资料及内容不完备或缺乏针对性得 3分；未提供不得分。</w:t>
            </w:r>
          </w:p>
        </w:tc>
      </w:tr>
      <w:tr w14:paraId="2F37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6615353E">
            <w:pPr>
              <w:spacing w:line="240" w:lineRule="auto"/>
              <w:jc w:val="left"/>
              <w:rPr>
                <w:rFonts w:hint="eastAsia" w:ascii="宋体" w:hAnsi="宋体" w:eastAsia="宋体" w:cs="宋体"/>
                <w:sz w:val="22"/>
                <w:szCs w:val="22"/>
                <w:lang w:val="en-US" w:eastAsia="zh-CN"/>
              </w:rPr>
            </w:pPr>
          </w:p>
        </w:tc>
        <w:tc>
          <w:tcPr>
            <w:tcW w:w="712" w:type="pct"/>
            <w:tcBorders>
              <w:top w:val="single" w:color="auto" w:sz="4" w:space="0"/>
              <w:bottom w:val="single" w:color="auto" w:sz="4" w:space="0"/>
            </w:tcBorders>
            <w:vAlign w:val="center"/>
          </w:tcPr>
          <w:p w14:paraId="3A8323DE">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服务质量 </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保证方案</w:t>
            </w:r>
          </w:p>
        </w:tc>
        <w:tc>
          <w:tcPr>
            <w:tcW w:w="476" w:type="pct"/>
            <w:vAlign w:val="center"/>
          </w:tcPr>
          <w:p w14:paraId="6BA3A91C">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3079" w:type="pct"/>
            <w:vAlign w:val="center"/>
          </w:tcPr>
          <w:p w14:paraId="3BCD4222">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方案内容全面、明确，措施合理可行得8分；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方案内容基本完善， 内容基本明确，措施可行得 6 分；方案内容有明显缺陷或措施缺乏可行性得3分；未提供方案或方案有重大缺陷的不得分。</w:t>
            </w:r>
          </w:p>
        </w:tc>
      </w:tr>
      <w:tr w14:paraId="01B3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61CE092F">
            <w:pPr>
              <w:spacing w:line="240" w:lineRule="auto"/>
              <w:jc w:val="left"/>
              <w:rPr>
                <w:rFonts w:hint="eastAsia" w:ascii="宋体" w:hAnsi="宋体" w:eastAsia="宋体" w:cs="宋体"/>
                <w:sz w:val="22"/>
                <w:szCs w:val="22"/>
                <w:lang w:val="en-US" w:eastAsia="zh-CN"/>
              </w:rPr>
            </w:pPr>
          </w:p>
        </w:tc>
        <w:tc>
          <w:tcPr>
            <w:tcW w:w="712" w:type="pct"/>
            <w:tcBorders>
              <w:top w:val="single" w:color="auto" w:sz="4" w:space="0"/>
              <w:bottom w:val="single" w:color="auto" w:sz="4" w:space="0"/>
            </w:tcBorders>
            <w:vAlign w:val="center"/>
          </w:tcPr>
          <w:p w14:paraId="11FA35AA">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进度保证方案</w:t>
            </w:r>
          </w:p>
        </w:tc>
        <w:tc>
          <w:tcPr>
            <w:tcW w:w="476" w:type="pct"/>
            <w:vAlign w:val="center"/>
          </w:tcPr>
          <w:p w14:paraId="37DB4937">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3079" w:type="pct"/>
            <w:vAlign w:val="center"/>
          </w:tcPr>
          <w:p w14:paraId="4CCA3CF4">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完成服务内容有全面且合理的时间（期限）计划安排、配套进度保证措施合理可行得 6分；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完成服务内容有的时间（期限）计划安排有欠缺、服务成果文件提交时间较明确、进度保证措施基本可行得 5 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完成服务内容有的时间（期限）计划安排有缺陷、进度保证措施欠缺合理性得3分；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未提供方案或方案有重大缺陷的不得分。</w:t>
            </w:r>
          </w:p>
        </w:tc>
      </w:tr>
      <w:tr w14:paraId="7BB0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6998ECBF">
            <w:pPr>
              <w:spacing w:line="240" w:lineRule="auto"/>
              <w:jc w:val="left"/>
              <w:rPr>
                <w:rFonts w:hint="eastAsia" w:ascii="宋体" w:hAnsi="宋体" w:eastAsia="宋体" w:cs="宋体"/>
                <w:sz w:val="22"/>
                <w:szCs w:val="22"/>
                <w:lang w:val="en-US" w:eastAsia="zh-CN"/>
              </w:rPr>
            </w:pPr>
          </w:p>
        </w:tc>
        <w:tc>
          <w:tcPr>
            <w:tcW w:w="712" w:type="pct"/>
            <w:tcBorders>
              <w:top w:val="single" w:color="auto" w:sz="4" w:space="0"/>
              <w:bottom w:val="single" w:color="auto" w:sz="4" w:space="0"/>
            </w:tcBorders>
            <w:vAlign w:val="center"/>
          </w:tcPr>
          <w:p w14:paraId="0B6A6A57">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应急服务</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方案</w:t>
            </w:r>
          </w:p>
        </w:tc>
        <w:tc>
          <w:tcPr>
            <w:tcW w:w="476" w:type="pct"/>
            <w:vAlign w:val="center"/>
          </w:tcPr>
          <w:p w14:paraId="48C136D6">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3079" w:type="pct"/>
            <w:vAlign w:val="center"/>
          </w:tcPr>
          <w:p w14:paraId="1FD7C48E">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方案内容明确、措施合理可行得 5分；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方案内容较明确、措施基本可行得3 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方案内容缺漏、措施欠缺可行性得 1分；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未提供方案或方案有重大缺陷的不得分；</w:t>
            </w:r>
          </w:p>
        </w:tc>
      </w:tr>
      <w:tr w14:paraId="400A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pct"/>
            <w:vMerge w:val="continue"/>
            <w:vAlign w:val="center"/>
          </w:tcPr>
          <w:p w14:paraId="55EE8E92">
            <w:pPr>
              <w:spacing w:line="240" w:lineRule="auto"/>
              <w:jc w:val="left"/>
              <w:rPr>
                <w:rFonts w:hint="eastAsia" w:ascii="宋体" w:hAnsi="宋体" w:eastAsia="宋体" w:cs="宋体"/>
                <w:sz w:val="22"/>
                <w:szCs w:val="22"/>
                <w:lang w:val="en-US" w:eastAsia="zh-CN"/>
              </w:rPr>
            </w:pPr>
          </w:p>
        </w:tc>
        <w:tc>
          <w:tcPr>
            <w:tcW w:w="712" w:type="pct"/>
            <w:tcBorders>
              <w:top w:val="single" w:color="auto" w:sz="4" w:space="0"/>
              <w:bottom w:val="single" w:color="auto" w:sz="4" w:space="0"/>
            </w:tcBorders>
            <w:vAlign w:val="center"/>
          </w:tcPr>
          <w:p w14:paraId="0EB41A78">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内部控制</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制度及措</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施</w:t>
            </w:r>
          </w:p>
        </w:tc>
        <w:tc>
          <w:tcPr>
            <w:tcW w:w="476" w:type="pct"/>
            <w:vAlign w:val="center"/>
          </w:tcPr>
          <w:p w14:paraId="234DE86B">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3079" w:type="pct"/>
            <w:vAlign w:val="center"/>
          </w:tcPr>
          <w:p w14:paraId="143ED7B1">
            <w:p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单位技术管理组织架构健全、具有完善的效率管理、技术管理和质量保证体系，各项内部管理制度健全、规范合理可行得 5 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内部管理制度不完善但基本合理可行得3分；</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内部管理制度不健全或缺乏可行性得1分，</w:t>
            </w:r>
          </w:p>
        </w:tc>
      </w:tr>
      <w:tr w14:paraId="2CEB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4" w:type="pct"/>
            <w:gridSpan w:val="2"/>
            <w:vAlign w:val="center"/>
          </w:tcPr>
          <w:p w14:paraId="47BFDC88">
            <w:pPr>
              <w:spacing w:line="24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合计</w:t>
            </w:r>
          </w:p>
        </w:tc>
        <w:tc>
          <w:tcPr>
            <w:tcW w:w="476" w:type="pct"/>
            <w:vAlign w:val="center"/>
          </w:tcPr>
          <w:p w14:paraId="07663EEC">
            <w:pPr>
              <w:spacing w:line="24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100</w:t>
            </w:r>
          </w:p>
        </w:tc>
        <w:tc>
          <w:tcPr>
            <w:tcW w:w="3079" w:type="pct"/>
            <w:vAlign w:val="center"/>
          </w:tcPr>
          <w:p w14:paraId="387B67F3">
            <w:pPr>
              <w:spacing w:line="240" w:lineRule="auto"/>
              <w:jc w:val="left"/>
              <w:rPr>
                <w:rFonts w:hint="eastAsia" w:ascii="宋体" w:hAnsi="宋体" w:eastAsia="宋体" w:cs="宋体"/>
                <w:sz w:val="22"/>
                <w:szCs w:val="22"/>
                <w:lang w:val="en-US" w:eastAsia="zh-CN"/>
              </w:rPr>
            </w:pPr>
          </w:p>
        </w:tc>
      </w:tr>
    </w:tbl>
    <w:p w14:paraId="12E7311A">
      <w:pPr>
        <w:spacing w:line="380" w:lineRule="exact"/>
        <w:rPr>
          <w:rFonts w:hint="eastAsia" w:ascii="黑体" w:hAnsi="黑体" w:eastAsia="黑体"/>
          <w:color w:val="auto"/>
          <w:sz w:val="24"/>
          <w:szCs w:val="24"/>
          <w:highlight w:val="none"/>
        </w:rPr>
      </w:pPr>
    </w:p>
    <w:p w14:paraId="79DD0123">
      <w:pPr>
        <w:adjustRightInd w:val="0"/>
        <w:snapToGrid w:val="0"/>
        <w:spacing w:line="360" w:lineRule="auto"/>
        <w:jc w:val="center"/>
        <w:outlineLvl w:val="0"/>
        <w:rPr>
          <w:rFonts w:hint="eastAsia" w:ascii="黑体" w:hAnsi="黑体" w:eastAsia="黑体" w:cs="黑体"/>
          <w:sz w:val="32"/>
          <w:szCs w:val="32"/>
        </w:rPr>
      </w:pPr>
    </w:p>
    <w:p w14:paraId="446BBFD4">
      <w:pPr>
        <w:adjustRightInd w:val="0"/>
        <w:snapToGrid w:val="0"/>
        <w:spacing w:line="360" w:lineRule="auto"/>
        <w:jc w:val="center"/>
        <w:outlineLvl w:val="0"/>
        <w:rPr>
          <w:rFonts w:hint="eastAsia" w:ascii="黑体" w:hAnsi="黑体" w:eastAsia="黑体" w:cs="黑体"/>
          <w:sz w:val="32"/>
          <w:szCs w:val="32"/>
        </w:rPr>
      </w:pPr>
    </w:p>
    <w:p w14:paraId="5BF6498B">
      <w:pPr>
        <w:adjustRightInd w:val="0"/>
        <w:snapToGrid w:val="0"/>
        <w:spacing w:line="360" w:lineRule="auto"/>
        <w:jc w:val="center"/>
        <w:outlineLvl w:val="0"/>
        <w:rPr>
          <w:rFonts w:hint="eastAsia" w:ascii="黑体" w:hAnsi="黑体" w:eastAsia="黑体" w:cs="黑体"/>
          <w:sz w:val="32"/>
          <w:szCs w:val="32"/>
        </w:rPr>
      </w:pPr>
    </w:p>
    <w:p w14:paraId="084A7957">
      <w:pPr>
        <w:adjustRightInd w:val="0"/>
        <w:snapToGrid w:val="0"/>
        <w:spacing w:line="360" w:lineRule="auto"/>
        <w:jc w:val="center"/>
        <w:outlineLvl w:val="0"/>
        <w:rPr>
          <w:rFonts w:hint="eastAsia" w:ascii="黑体" w:hAnsi="黑体" w:eastAsia="黑体" w:cs="黑体"/>
          <w:sz w:val="32"/>
          <w:szCs w:val="32"/>
        </w:rPr>
      </w:pPr>
    </w:p>
    <w:p w14:paraId="5AE5E0F4">
      <w:pPr>
        <w:adjustRightInd w:val="0"/>
        <w:snapToGrid w:val="0"/>
        <w:spacing w:line="360" w:lineRule="auto"/>
        <w:jc w:val="center"/>
        <w:outlineLvl w:val="0"/>
        <w:rPr>
          <w:rFonts w:hint="eastAsia" w:ascii="黑体" w:hAnsi="黑体" w:eastAsia="黑体" w:cs="黑体"/>
          <w:sz w:val="32"/>
          <w:szCs w:val="32"/>
        </w:rPr>
      </w:pPr>
    </w:p>
    <w:p w14:paraId="7CE79216">
      <w:pPr>
        <w:adjustRightInd w:val="0"/>
        <w:snapToGrid w:val="0"/>
        <w:spacing w:line="360" w:lineRule="auto"/>
        <w:jc w:val="center"/>
        <w:outlineLvl w:val="0"/>
        <w:rPr>
          <w:rFonts w:hint="eastAsia" w:ascii="黑体" w:hAnsi="黑体" w:eastAsia="黑体" w:cs="黑体"/>
          <w:sz w:val="32"/>
          <w:szCs w:val="32"/>
        </w:rPr>
      </w:pPr>
    </w:p>
    <w:p w14:paraId="290F84D7">
      <w:pPr>
        <w:adjustRightInd w:val="0"/>
        <w:snapToGrid w:val="0"/>
        <w:spacing w:line="360" w:lineRule="auto"/>
        <w:jc w:val="center"/>
        <w:outlineLvl w:val="0"/>
        <w:rPr>
          <w:rFonts w:hint="eastAsia" w:ascii="黑体" w:hAnsi="黑体" w:eastAsia="黑体" w:cs="黑体"/>
          <w:sz w:val="32"/>
          <w:szCs w:val="32"/>
        </w:rPr>
      </w:pPr>
    </w:p>
    <w:p w14:paraId="40F7C2D3">
      <w:pPr>
        <w:adjustRightInd w:val="0"/>
        <w:snapToGrid w:val="0"/>
        <w:spacing w:line="360" w:lineRule="auto"/>
        <w:jc w:val="center"/>
        <w:outlineLvl w:val="0"/>
        <w:rPr>
          <w:rFonts w:hint="eastAsia" w:ascii="黑体" w:hAnsi="黑体" w:eastAsia="黑体" w:cs="黑体"/>
          <w:sz w:val="32"/>
          <w:szCs w:val="32"/>
        </w:rPr>
      </w:pPr>
    </w:p>
    <w:p w14:paraId="5B2DB14E">
      <w:pPr>
        <w:adjustRightInd w:val="0"/>
        <w:snapToGrid w:val="0"/>
        <w:spacing w:line="360" w:lineRule="auto"/>
        <w:jc w:val="center"/>
        <w:outlineLvl w:val="0"/>
        <w:rPr>
          <w:rFonts w:hint="eastAsia" w:ascii="黑体" w:hAnsi="黑体" w:eastAsia="黑体" w:cs="黑体"/>
          <w:sz w:val="32"/>
          <w:szCs w:val="32"/>
        </w:rPr>
      </w:pPr>
    </w:p>
    <w:p w14:paraId="1AC3AA0D">
      <w:pPr>
        <w:adjustRightInd w:val="0"/>
        <w:snapToGrid w:val="0"/>
        <w:spacing w:line="360" w:lineRule="auto"/>
        <w:jc w:val="center"/>
        <w:outlineLvl w:val="0"/>
        <w:rPr>
          <w:rFonts w:hint="eastAsia" w:ascii="黑体" w:hAnsi="黑体" w:eastAsia="黑体" w:cs="黑体"/>
          <w:sz w:val="32"/>
          <w:szCs w:val="32"/>
        </w:rPr>
      </w:pPr>
    </w:p>
    <w:p w14:paraId="3864CFB9">
      <w:pPr>
        <w:adjustRightInd w:val="0"/>
        <w:snapToGrid w:val="0"/>
        <w:spacing w:line="360" w:lineRule="auto"/>
        <w:jc w:val="center"/>
        <w:outlineLvl w:val="0"/>
        <w:rPr>
          <w:rFonts w:hint="eastAsia" w:ascii="黑体" w:hAnsi="黑体" w:eastAsia="黑体" w:cs="黑体"/>
          <w:sz w:val="32"/>
          <w:szCs w:val="32"/>
        </w:rPr>
      </w:pPr>
    </w:p>
    <w:p w14:paraId="6BB4D943">
      <w:pPr>
        <w:adjustRightInd w:val="0"/>
        <w:snapToGrid w:val="0"/>
        <w:spacing w:line="360" w:lineRule="auto"/>
        <w:jc w:val="center"/>
        <w:outlineLvl w:val="0"/>
        <w:rPr>
          <w:rFonts w:hint="eastAsia" w:ascii="黑体" w:hAnsi="黑体" w:eastAsia="黑体" w:cs="黑体"/>
          <w:sz w:val="32"/>
          <w:szCs w:val="32"/>
        </w:rPr>
      </w:pPr>
    </w:p>
    <w:p w14:paraId="2A35F6CF">
      <w:pPr>
        <w:adjustRightInd w:val="0"/>
        <w:snapToGrid w:val="0"/>
        <w:spacing w:line="360" w:lineRule="auto"/>
        <w:jc w:val="center"/>
        <w:outlineLvl w:val="0"/>
        <w:rPr>
          <w:rFonts w:hint="eastAsia" w:ascii="黑体" w:hAnsi="黑体" w:eastAsia="黑体" w:cs="黑体"/>
          <w:sz w:val="32"/>
          <w:szCs w:val="32"/>
        </w:rPr>
      </w:pPr>
    </w:p>
    <w:p w14:paraId="4BF6BF68">
      <w:pPr>
        <w:adjustRightInd w:val="0"/>
        <w:snapToGrid w:val="0"/>
        <w:spacing w:line="360" w:lineRule="auto"/>
        <w:jc w:val="center"/>
        <w:outlineLvl w:val="0"/>
        <w:rPr>
          <w:rFonts w:hint="eastAsia" w:ascii="黑体" w:hAnsi="黑体" w:eastAsia="黑体" w:cs="黑体"/>
          <w:sz w:val="32"/>
          <w:szCs w:val="32"/>
        </w:rPr>
      </w:pPr>
    </w:p>
    <w:p w14:paraId="4BDA3C41">
      <w:pPr>
        <w:adjustRightInd w:val="0"/>
        <w:snapToGrid w:val="0"/>
        <w:spacing w:line="360" w:lineRule="auto"/>
        <w:jc w:val="center"/>
        <w:outlineLvl w:val="0"/>
        <w:rPr>
          <w:rFonts w:hint="eastAsia" w:ascii="黑体" w:hAnsi="黑体" w:eastAsia="黑体" w:cs="黑体"/>
          <w:sz w:val="32"/>
          <w:szCs w:val="32"/>
        </w:rPr>
      </w:pPr>
    </w:p>
    <w:p w14:paraId="4C6D929C">
      <w:pPr>
        <w:adjustRightInd w:val="0"/>
        <w:snapToGrid w:val="0"/>
        <w:spacing w:line="360" w:lineRule="auto"/>
        <w:jc w:val="center"/>
        <w:outlineLvl w:val="0"/>
        <w:rPr>
          <w:rFonts w:hint="eastAsia" w:ascii="黑体" w:hAnsi="黑体" w:eastAsia="黑体" w:cs="黑体"/>
          <w:sz w:val="32"/>
          <w:szCs w:val="32"/>
        </w:rPr>
      </w:pPr>
    </w:p>
    <w:p w14:paraId="21585A8F">
      <w:pPr>
        <w:adjustRightInd w:val="0"/>
        <w:snapToGrid w:val="0"/>
        <w:spacing w:line="360" w:lineRule="auto"/>
        <w:jc w:val="center"/>
        <w:outlineLvl w:val="0"/>
        <w:rPr>
          <w:rFonts w:hint="eastAsia" w:ascii="黑体" w:hAnsi="黑体" w:eastAsia="黑体" w:cs="黑体"/>
          <w:sz w:val="32"/>
          <w:szCs w:val="32"/>
        </w:rPr>
      </w:pPr>
    </w:p>
    <w:p w14:paraId="544F7BED">
      <w:pPr>
        <w:adjustRightInd w:val="0"/>
        <w:snapToGrid w:val="0"/>
        <w:spacing w:line="360" w:lineRule="auto"/>
        <w:jc w:val="center"/>
        <w:outlineLvl w:val="0"/>
        <w:rPr>
          <w:rFonts w:hint="eastAsia" w:ascii="黑体" w:hAnsi="黑体" w:eastAsia="黑体" w:cs="黑体"/>
          <w:sz w:val="32"/>
          <w:szCs w:val="32"/>
        </w:rPr>
      </w:pPr>
    </w:p>
    <w:p w14:paraId="3376DCA0">
      <w:pPr>
        <w:pStyle w:val="2"/>
        <w:numPr>
          <w:ilvl w:val="0"/>
          <w:numId w:val="0"/>
        </w:numPr>
        <w:ind w:leftChars="0"/>
        <w:jc w:val="center"/>
        <w:rPr>
          <w:rFonts w:hint="eastAsia"/>
          <w:b/>
          <w:bCs/>
          <w:sz w:val="32"/>
          <w:szCs w:val="32"/>
        </w:rPr>
      </w:pPr>
      <w:bookmarkStart w:id="104" w:name="_Toc20459"/>
      <w:r>
        <w:rPr>
          <w:rFonts w:hint="eastAsia" w:ascii="黑体" w:hAnsi="黑体" w:eastAsia="黑体" w:cs="黑体"/>
          <w:sz w:val="32"/>
          <w:szCs w:val="32"/>
        </w:rPr>
        <w:t xml:space="preserve">第五章 </w:t>
      </w:r>
      <w:bookmarkEnd w:id="104"/>
      <w:bookmarkStart w:id="105" w:name="_Toc163493641"/>
      <w:r>
        <w:rPr>
          <w:rFonts w:hint="eastAsia"/>
        </w:rPr>
        <w:t>合同草案</w:t>
      </w:r>
      <w:bookmarkEnd w:id="105"/>
    </w:p>
    <w:p w14:paraId="09AB686E">
      <w:pPr>
        <w:adjustRightInd w:val="0"/>
        <w:snapToGrid w:val="0"/>
        <w:spacing w:line="360" w:lineRule="auto"/>
        <w:jc w:val="center"/>
        <w:rPr>
          <w:rFonts w:hint="eastAsia"/>
          <w:b/>
          <w:bCs/>
          <w:sz w:val="32"/>
          <w:szCs w:val="32"/>
        </w:rPr>
      </w:pPr>
    </w:p>
    <w:p w14:paraId="2005C362">
      <w:pPr>
        <w:rPr>
          <w:bCs/>
          <w:color w:val="FF0000"/>
          <w:sz w:val="24"/>
          <w:szCs w:val="24"/>
        </w:rPr>
      </w:pPr>
      <w:r>
        <w:rPr>
          <w:rFonts w:hint="eastAsia"/>
          <w:color w:val="FF0000"/>
          <w:sz w:val="24"/>
          <w:szCs w:val="24"/>
        </w:rPr>
        <w:t>【此合同书仅作为签订正式合同时的参考，正式合同书应包括本参考格式的内容】</w:t>
      </w:r>
    </w:p>
    <w:p w14:paraId="226FA0B2">
      <w:pPr>
        <w:wordWrap w:val="0"/>
        <w:rPr>
          <w:bCs/>
          <w:sz w:val="24"/>
          <w:szCs w:val="24"/>
        </w:rPr>
      </w:pPr>
      <w:r>
        <w:rPr>
          <w:rFonts w:hint="eastAsia" w:cs="Helvetica"/>
          <w:bCs/>
          <w:sz w:val="24"/>
          <w:szCs w:val="24"/>
          <w:lang w:val="zh-CN"/>
        </w:rPr>
        <w:t>合同编号：</w:t>
      </w:r>
      <w:r>
        <w:rPr>
          <w:rFonts w:hint="eastAsia" w:cs="Helvetica"/>
          <w:bCs/>
          <w:sz w:val="24"/>
          <w:szCs w:val="24"/>
          <w:u w:val="single"/>
        </w:rPr>
        <w:t xml:space="preserve">              </w:t>
      </w:r>
    </w:p>
    <w:p w14:paraId="0D07A536">
      <w:pPr>
        <w:wordWrap w:val="0"/>
        <w:jc w:val="center"/>
        <w:rPr>
          <w:bCs/>
          <w:sz w:val="36"/>
          <w:szCs w:val="36"/>
        </w:rPr>
      </w:pPr>
    </w:p>
    <w:p w14:paraId="189EBCD3">
      <w:pPr>
        <w:wordWrap w:val="0"/>
        <w:jc w:val="center"/>
        <w:rPr>
          <w:bCs/>
          <w:sz w:val="36"/>
          <w:szCs w:val="36"/>
        </w:rPr>
      </w:pPr>
    </w:p>
    <w:p w14:paraId="560C145D">
      <w:pPr>
        <w:wordWrap w:val="0"/>
        <w:jc w:val="center"/>
        <w:rPr>
          <w:b/>
          <w:bCs/>
          <w:sz w:val="72"/>
          <w:szCs w:val="72"/>
        </w:rPr>
      </w:pPr>
      <w:r>
        <w:rPr>
          <w:rFonts w:hint="eastAsia"/>
          <w:b/>
          <w:bCs/>
          <w:sz w:val="72"/>
          <w:szCs w:val="72"/>
        </w:rPr>
        <w:t>合   同   书</w:t>
      </w:r>
    </w:p>
    <w:p w14:paraId="2D7F601C">
      <w:pPr>
        <w:wordWrap w:val="0"/>
      </w:pPr>
    </w:p>
    <w:p w14:paraId="513DC009">
      <w:pPr>
        <w:wordWrap w:val="0"/>
      </w:pPr>
    </w:p>
    <w:p w14:paraId="29C8ED09">
      <w:pPr>
        <w:wordWrap w:val="0"/>
        <w:rPr>
          <w:sz w:val="28"/>
          <w:szCs w:val="28"/>
        </w:rPr>
      </w:pPr>
    </w:p>
    <w:p w14:paraId="33679DA8">
      <w:pPr>
        <w:wordWrap w:val="0"/>
        <w:spacing w:before="78" w:beforeLines="25"/>
        <w:rPr>
          <w:rFonts w:cs="Helvetica"/>
          <w:sz w:val="28"/>
          <w:szCs w:val="28"/>
          <w:u w:val="single"/>
          <w:lang w:val="zh-CN"/>
        </w:rPr>
      </w:pPr>
      <w:r>
        <w:rPr>
          <w:rFonts w:hint="eastAsia" w:cs="Helvetica"/>
          <w:b/>
          <w:sz w:val="28"/>
          <w:szCs w:val="28"/>
          <w:lang w:val="zh-CN"/>
        </w:rPr>
        <w:t>项目名称：</w:t>
      </w:r>
      <w:r>
        <w:rPr>
          <w:rFonts w:hint="eastAsia" w:cs="Helvetica"/>
          <w:sz w:val="28"/>
          <w:szCs w:val="28"/>
          <w:u w:val="single"/>
          <w:lang w:val="zh-CN"/>
        </w:rPr>
        <w:t xml:space="preserve">                                             </w:t>
      </w:r>
    </w:p>
    <w:p w14:paraId="1016B36F">
      <w:pPr>
        <w:wordWrap w:val="0"/>
        <w:spacing w:before="78" w:beforeLines="25"/>
        <w:rPr>
          <w:rFonts w:cs="Helvetica"/>
          <w:b/>
          <w:sz w:val="28"/>
          <w:szCs w:val="28"/>
          <w:lang w:val="zh-CN"/>
        </w:rPr>
      </w:pPr>
    </w:p>
    <w:p w14:paraId="0E2A32E2">
      <w:pPr>
        <w:wordWrap w:val="0"/>
        <w:spacing w:before="78" w:beforeLines="25"/>
        <w:rPr>
          <w:rFonts w:cs="Helvetica"/>
          <w:bCs/>
          <w:sz w:val="28"/>
          <w:szCs w:val="28"/>
          <w:u w:val="single"/>
          <w:lang w:val="zh-CN"/>
        </w:rPr>
      </w:pPr>
      <w:r>
        <w:rPr>
          <w:rFonts w:hint="eastAsia" w:cs="Helvetica"/>
          <w:b/>
          <w:sz w:val="28"/>
          <w:szCs w:val="28"/>
          <w:lang w:val="zh-CN"/>
        </w:rPr>
        <w:t>甲方（采购人）：</w:t>
      </w:r>
      <w:r>
        <w:rPr>
          <w:rFonts w:hint="eastAsia"/>
          <w:bCs/>
          <w:sz w:val="28"/>
          <w:szCs w:val="28"/>
          <w:u w:val="single"/>
        </w:rPr>
        <w:t xml:space="preserve">                                  </w:t>
      </w:r>
      <w:r>
        <w:rPr>
          <w:rFonts w:hint="eastAsia" w:cs="Helvetica"/>
          <w:bCs/>
          <w:sz w:val="28"/>
          <w:szCs w:val="28"/>
          <w:u w:val="single"/>
          <w:lang w:val="zh-CN"/>
        </w:rPr>
        <w:t xml:space="preserve">    </w:t>
      </w:r>
    </w:p>
    <w:p w14:paraId="643CA063">
      <w:pPr>
        <w:wordWrap w:val="0"/>
        <w:spacing w:before="78" w:beforeLines="25"/>
        <w:rPr>
          <w:rFonts w:cs="Helvetica"/>
          <w:b/>
          <w:sz w:val="28"/>
          <w:szCs w:val="28"/>
          <w:lang w:val="zh-CN"/>
        </w:rPr>
      </w:pPr>
    </w:p>
    <w:p w14:paraId="11F33008">
      <w:pPr>
        <w:wordWrap w:val="0"/>
        <w:spacing w:before="78" w:beforeLines="25"/>
        <w:rPr>
          <w:b/>
          <w:sz w:val="28"/>
          <w:szCs w:val="28"/>
          <w:u w:val="single"/>
        </w:rPr>
      </w:pPr>
      <w:r>
        <w:rPr>
          <w:rFonts w:hint="eastAsia" w:cs="Helvetica"/>
          <w:b/>
          <w:sz w:val="28"/>
          <w:szCs w:val="28"/>
          <w:lang w:val="zh-CN"/>
        </w:rPr>
        <w:t>乙方（成交供应商）：</w:t>
      </w:r>
      <w:r>
        <w:rPr>
          <w:rFonts w:hint="eastAsia"/>
          <w:b/>
          <w:sz w:val="28"/>
          <w:szCs w:val="28"/>
          <w:u w:val="single"/>
        </w:rPr>
        <w:t xml:space="preserve">                                      </w:t>
      </w:r>
    </w:p>
    <w:p w14:paraId="7038B840">
      <w:pPr>
        <w:wordWrap w:val="0"/>
        <w:spacing w:before="78" w:beforeLines="25"/>
        <w:rPr>
          <w:b/>
          <w:sz w:val="28"/>
          <w:szCs w:val="28"/>
          <w:u w:val="single"/>
        </w:rPr>
      </w:pPr>
    </w:p>
    <w:p w14:paraId="5BEA9F9F">
      <w:pPr>
        <w:wordWrap w:val="0"/>
        <w:spacing w:before="78" w:beforeLines="25"/>
        <w:rPr>
          <w:sz w:val="28"/>
          <w:szCs w:val="28"/>
          <w:u w:val="single"/>
        </w:rPr>
      </w:pPr>
      <w:r>
        <w:rPr>
          <w:rFonts w:hint="eastAsia" w:cs="Helvetica"/>
          <w:b/>
          <w:sz w:val="28"/>
          <w:szCs w:val="28"/>
          <w:lang w:val="zh-CN"/>
        </w:rPr>
        <w:t>签订地：</w:t>
      </w:r>
      <w:r>
        <w:rPr>
          <w:rFonts w:hint="eastAsia" w:cs="Helvetica"/>
          <w:sz w:val="28"/>
          <w:szCs w:val="28"/>
          <w:u w:val="single"/>
          <w:lang w:val="zh-CN"/>
        </w:rPr>
        <w:t xml:space="preserve">                                               </w:t>
      </w:r>
    </w:p>
    <w:p w14:paraId="68225BCF">
      <w:pPr>
        <w:wordWrap w:val="0"/>
        <w:spacing w:before="78" w:beforeLines="25"/>
        <w:rPr>
          <w:u w:val="single"/>
        </w:rPr>
      </w:pPr>
    </w:p>
    <w:p w14:paraId="31A7CBFF">
      <w:pPr>
        <w:wordWrap w:val="0"/>
        <w:spacing w:before="78" w:beforeLines="25"/>
        <w:rPr>
          <w:b/>
          <w:szCs w:val="24"/>
        </w:rPr>
      </w:pPr>
      <w:r>
        <w:rPr>
          <w:rFonts w:hint="eastAsia" w:cs="Helvetic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14:paraId="2E0C5BFD">
      <w:pPr>
        <w:wordWrap w:val="0"/>
        <w:spacing w:before="78" w:beforeLines="25"/>
        <w:rPr>
          <w:b/>
        </w:rPr>
      </w:pPr>
      <w:r>
        <w:rPr>
          <w:rFonts w:hint="eastAsia"/>
          <w:b/>
        </w:rPr>
        <w:t xml:space="preserve">                                                 </w:t>
      </w:r>
    </w:p>
    <w:p w14:paraId="64AD65A0">
      <w:pPr>
        <w:widowControl/>
        <w:wordWrap w:val="0"/>
        <w:rPr>
          <w:rFonts w:cs="宋体"/>
          <w:szCs w:val="24"/>
        </w:rPr>
      </w:pPr>
      <w:r>
        <w:rPr>
          <w:rFonts w:cs="宋体"/>
          <w:szCs w:val="24"/>
        </w:rPr>
        <w:br w:type="page"/>
      </w:r>
    </w:p>
    <w:p w14:paraId="07ECA997">
      <w:pPr>
        <w:wordWrap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本合同由甲乙双方根据《中华人民共和国政府采购法》《中华人民共和国政府采购法实施条例》《中华人民共和国民法典》等相关法律法规规定，按平等、自愿、诚实信用的原则拟定，甲、乙双方均应遵守法律规定和合同约定，并各自履行应负的全部责任和义务。 </w:t>
      </w:r>
    </w:p>
    <w:p w14:paraId="38285CFB">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sz w:val="24"/>
          <w:szCs w:val="24"/>
          <w:lang w:val="zh-CN"/>
        </w:rPr>
      </w:pPr>
      <w:r>
        <w:rPr>
          <w:rFonts w:hint="eastAsia" w:cs="Helvetica"/>
          <w:b/>
          <w:sz w:val="24"/>
          <w:szCs w:val="24"/>
          <w:lang w:val="zh-CN"/>
        </w:rPr>
        <w:t>项目基本情况</w:t>
      </w:r>
    </w:p>
    <w:p w14:paraId="0F87EDA2">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1．项目名称：</w:t>
      </w:r>
      <w:r>
        <w:rPr>
          <w:rFonts w:hint="eastAsia"/>
          <w:sz w:val="24"/>
          <w:szCs w:val="24"/>
          <w:u w:val="single"/>
        </w:rPr>
        <w:t xml:space="preserve">         </w:t>
      </w:r>
      <w:r>
        <w:rPr>
          <w:rFonts w:hint="eastAsia" w:cs="Helvetica"/>
          <w:bCs/>
          <w:i/>
          <w:iCs/>
          <w:sz w:val="24"/>
          <w:szCs w:val="24"/>
          <w:u w:val="single"/>
        </w:rPr>
        <w:t>(见磋商文件)</w:t>
      </w:r>
      <w:r>
        <w:rPr>
          <w:rFonts w:hint="eastAsia"/>
          <w:sz w:val="24"/>
          <w:szCs w:val="24"/>
          <w:u w:val="single"/>
        </w:rPr>
        <w:t xml:space="preserve">               </w:t>
      </w:r>
    </w:p>
    <w:p w14:paraId="41C800E3">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2．项目编号：</w:t>
      </w:r>
      <w:r>
        <w:rPr>
          <w:rFonts w:hint="eastAsia"/>
          <w:sz w:val="24"/>
          <w:szCs w:val="24"/>
          <w:u w:val="single"/>
        </w:rPr>
        <w:t xml:space="preserve">          </w:t>
      </w:r>
      <w:r>
        <w:rPr>
          <w:rFonts w:hint="eastAsia" w:cs="Helvetica"/>
          <w:bCs/>
          <w:i/>
          <w:iCs/>
          <w:sz w:val="24"/>
          <w:szCs w:val="24"/>
          <w:u w:val="single"/>
        </w:rPr>
        <w:t>(见磋商文件)</w:t>
      </w:r>
      <w:r>
        <w:rPr>
          <w:rFonts w:hint="eastAsia"/>
          <w:sz w:val="24"/>
          <w:szCs w:val="24"/>
          <w:u w:val="single"/>
        </w:rPr>
        <w:t xml:space="preserve">             </w:t>
      </w:r>
    </w:p>
    <w:p w14:paraId="10673B90">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3．政府采购计划备案号：</w:t>
      </w:r>
      <w:r>
        <w:rPr>
          <w:rFonts w:hint="eastAsia"/>
          <w:sz w:val="24"/>
          <w:szCs w:val="24"/>
          <w:u w:val="single"/>
        </w:rPr>
        <w:t xml:space="preserve">  </w:t>
      </w:r>
      <w:r>
        <w:rPr>
          <w:rFonts w:hint="eastAsia" w:cs="Helvetica"/>
          <w:bCs/>
          <w:i/>
          <w:iCs/>
          <w:sz w:val="24"/>
          <w:szCs w:val="24"/>
          <w:u w:val="single"/>
        </w:rPr>
        <w:t>(见磋商文件)</w:t>
      </w:r>
      <w:r>
        <w:rPr>
          <w:rFonts w:hint="eastAsia"/>
          <w:sz w:val="24"/>
          <w:szCs w:val="24"/>
          <w:u w:val="single"/>
        </w:rPr>
        <w:t xml:space="preserve">            </w:t>
      </w:r>
    </w:p>
    <w:p w14:paraId="74D20980">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Helvetica"/>
          <w:szCs w:val="24"/>
          <w:lang w:val="zh-CN"/>
        </w:rPr>
      </w:pPr>
      <w:r>
        <w:rPr>
          <w:rFonts w:hint="eastAsia"/>
          <w:sz w:val="24"/>
          <w:szCs w:val="24"/>
        </w:rPr>
        <w:t>4．项目概况：</w:t>
      </w:r>
      <w:r>
        <w:rPr>
          <w:rFonts w:hint="eastAsia" w:cs="Helvetica"/>
          <w:sz w:val="24"/>
          <w:szCs w:val="24"/>
          <w:u w:val="single"/>
          <w:lang w:val="zh-CN"/>
        </w:rPr>
        <w:t xml:space="preserve">              </w:t>
      </w:r>
      <w:r>
        <w:rPr>
          <w:rFonts w:hint="eastAsia" w:cs="Helvetica"/>
          <w:bCs/>
          <w:i/>
          <w:iCs/>
          <w:sz w:val="24"/>
          <w:szCs w:val="24"/>
          <w:u w:val="single"/>
        </w:rPr>
        <w:t>(见磋商文件)</w:t>
      </w:r>
      <w:r>
        <w:rPr>
          <w:rFonts w:hint="eastAsia" w:cs="Helvetica"/>
          <w:sz w:val="24"/>
          <w:szCs w:val="24"/>
          <w:u w:val="single"/>
          <w:lang w:val="zh-CN"/>
        </w:rPr>
        <w:t xml:space="preserve">         </w:t>
      </w:r>
      <w:r>
        <w:rPr>
          <w:rFonts w:hint="eastAsia" w:cs="Helvetica"/>
          <w:szCs w:val="24"/>
          <w:u w:val="single"/>
          <w:lang w:val="zh-CN"/>
        </w:rPr>
        <w:t xml:space="preserve"> </w:t>
      </w:r>
      <w:r>
        <w:rPr>
          <w:rFonts w:hint="eastAsia" w:cs="Helvetica"/>
          <w:szCs w:val="24"/>
          <w:lang w:val="zh-CN"/>
        </w:rPr>
        <w:t xml:space="preserve">  </w:t>
      </w:r>
    </w:p>
    <w:p w14:paraId="29D55AA1">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iCs/>
          <w:szCs w:val="24"/>
        </w:rPr>
      </w:pPr>
      <w:r>
        <w:rPr>
          <w:rFonts w:hint="eastAsia" w:cs="Helvetica"/>
          <w:b/>
          <w:szCs w:val="24"/>
          <w:lang w:val="zh-CN"/>
        </w:rPr>
        <w:t>标的名称、数量（规模）</w:t>
      </w:r>
      <w:r>
        <w:rPr>
          <w:rFonts w:hint="eastAsia" w:cs="Helvetica"/>
          <w:i/>
          <w:iCs/>
          <w:szCs w:val="24"/>
        </w:rPr>
        <w:t xml:space="preserve"> </w:t>
      </w:r>
    </w:p>
    <w:tbl>
      <w:tblPr>
        <w:tblStyle w:val="23"/>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22DD6B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272977B8">
            <w:pPr>
              <w:keepNext w:val="0"/>
              <w:keepLines w:val="0"/>
              <w:pageBreakBefore w:val="0"/>
              <w:widowControl w:val="0"/>
              <w:kinsoku/>
              <w:wordWrap w:val="0"/>
              <w:overflowPunct/>
              <w:topLinePunct w:val="0"/>
              <w:bidi w:val="0"/>
              <w:spacing w:line="360" w:lineRule="auto"/>
              <w:ind w:left="-105" w:leftChars="-50" w:right="-105" w:rightChars="-50"/>
              <w:jc w:val="center"/>
              <w:textAlignment w:val="auto"/>
              <w:rPr>
                <w:rFonts w:cs="宋体"/>
                <w:b/>
                <w:sz w:val="24"/>
                <w:szCs w:val="24"/>
              </w:rPr>
            </w:pPr>
            <w:r>
              <w:rPr>
                <w:rFonts w:hint="eastAsia" w:cs="仿宋_GB2312"/>
                <w:b/>
                <w:sz w:val="24"/>
                <w:szCs w:val="24"/>
              </w:rPr>
              <w:t>序号</w:t>
            </w:r>
          </w:p>
        </w:tc>
        <w:tc>
          <w:tcPr>
            <w:tcW w:w="2378" w:type="dxa"/>
            <w:shd w:val="pct10" w:color="C3BD96" w:themeColor="background2" w:themeShade="BF" w:fill="DDD9C4" w:themeFill="background2" w:themeFillShade="E6"/>
            <w:vAlign w:val="center"/>
          </w:tcPr>
          <w:p w14:paraId="7F7570D3">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b/>
                <w:sz w:val="24"/>
                <w:szCs w:val="24"/>
              </w:rPr>
            </w:pPr>
            <w:r>
              <w:rPr>
                <w:rFonts w:hint="eastAsia" w:cs="宋体"/>
                <w:b/>
                <w:sz w:val="24"/>
                <w:szCs w:val="24"/>
              </w:rPr>
              <w:t>名称</w:t>
            </w:r>
          </w:p>
        </w:tc>
        <w:tc>
          <w:tcPr>
            <w:tcW w:w="1132" w:type="dxa"/>
            <w:shd w:val="pct10" w:color="C3BD96" w:themeColor="background2" w:themeShade="BF" w:fill="DDD9C4" w:themeFill="background2" w:themeFillShade="E6"/>
            <w:vAlign w:val="center"/>
          </w:tcPr>
          <w:p w14:paraId="3CAE031F">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b/>
                <w:sz w:val="24"/>
                <w:szCs w:val="24"/>
              </w:rPr>
            </w:pPr>
            <w:r>
              <w:rPr>
                <w:rFonts w:hint="eastAsia"/>
                <w:b/>
                <w:sz w:val="24"/>
                <w:szCs w:val="24"/>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57EEA20D">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b/>
                <w:sz w:val="24"/>
                <w:szCs w:val="24"/>
              </w:rPr>
            </w:pPr>
            <w:r>
              <w:rPr>
                <w:rFonts w:hint="eastAsia" w:cs="宋体"/>
                <w:b/>
                <w:sz w:val="24"/>
                <w:szCs w:val="24"/>
              </w:rPr>
              <w:t>数量</w:t>
            </w:r>
          </w:p>
        </w:tc>
        <w:tc>
          <w:tcPr>
            <w:tcW w:w="627" w:type="dxa"/>
            <w:tcBorders>
              <w:left w:val="single" w:color="auto" w:sz="4" w:space="0"/>
            </w:tcBorders>
            <w:shd w:val="pct10" w:color="C3BD96" w:themeColor="background2" w:themeShade="BF" w:fill="DDD9C4" w:themeFill="background2" w:themeFillShade="E6"/>
            <w:vAlign w:val="center"/>
          </w:tcPr>
          <w:p w14:paraId="2EA0555C">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b/>
                <w:sz w:val="24"/>
                <w:szCs w:val="24"/>
              </w:rPr>
            </w:pPr>
            <w:r>
              <w:rPr>
                <w:rFonts w:hint="eastAsia" w:cs="宋体"/>
                <w:b/>
                <w:sz w:val="24"/>
                <w:szCs w:val="24"/>
              </w:rPr>
              <w:t>单位</w:t>
            </w:r>
          </w:p>
        </w:tc>
        <w:tc>
          <w:tcPr>
            <w:tcW w:w="859" w:type="dxa"/>
            <w:shd w:val="pct10" w:color="C3BD96" w:themeColor="background2" w:themeShade="BF" w:fill="DDD9C4" w:themeFill="background2" w:themeFillShade="E6"/>
            <w:vAlign w:val="center"/>
          </w:tcPr>
          <w:p w14:paraId="7782E94B">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b/>
                <w:sz w:val="24"/>
                <w:szCs w:val="24"/>
              </w:rPr>
            </w:pPr>
            <w:r>
              <w:rPr>
                <w:rFonts w:hint="eastAsia" w:cs="宋体"/>
                <w:b/>
                <w:sz w:val="24"/>
                <w:szCs w:val="24"/>
              </w:rPr>
              <w:t>单价</w:t>
            </w:r>
          </w:p>
        </w:tc>
        <w:tc>
          <w:tcPr>
            <w:tcW w:w="1425" w:type="dxa"/>
            <w:shd w:val="pct10" w:color="C3BD96" w:themeColor="background2" w:themeShade="BF" w:fill="DDD9C4" w:themeFill="background2" w:themeFillShade="E6"/>
            <w:vAlign w:val="center"/>
          </w:tcPr>
          <w:p w14:paraId="2FFA8A93">
            <w:pPr>
              <w:keepNext w:val="0"/>
              <w:keepLines w:val="0"/>
              <w:pageBreakBefore w:val="0"/>
              <w:widowControl w:val="0"/>
              <w:kinsoku/>
              <w:wordWrap w:val="0"/>
              <w:overflowPunct/>
              <w:topLinePunct w:val="0"/>
              <w:bidi w:val="0"/>
              <w:adjustRightInd w:val="0"/>
              <w:snapToGrid w:val="0"/>
              <w:spacing w:line="360" w:lineRule="auto"/>
              <w:ind w:left="-23" w:leftChars="-11" w:right="-65" w:rightChars="-31"/>
              <w:jc w:val="center"/>
              <w:textAlignment w:val="auto"/>
              <w:rPr>
                <w:rFonts w:cs="宋体"/>
                <w:b/>
                <w:sz w:val="24"/>
                <w:szCs w:val="24"/>
              </w:rPr>
            </w:pPr>
            <w:r>
              <w:rPr>
                <w:rFonts w:hint="eastAsia" w:cs="宋体"/>
                <w:b/>
                <w:sz w:val="24"/>
                <w:szCs w:val="24"/>
              </w:rPr>
              <w:t>分项合计</w:t>
            </w:r>
          </w:p>
        </w:tc>
        <w:tc>
          <w:tcPr>
            <w:tcW w:w="1134" w:type="dxa"/>
            <w:shd w:val="pct10" w:color="C3BD96" w:themeColor="background2" w:themeShade="BF" w:fill="DDD9C4" w:themeFill="background2" w:themeFillShade="E6"/>
            <w:vAlign w:val="center"/>
          </w:tcPr>
          <w:p w14:paraId="6A24D826">
            <w:pPr>
              <w:keepNext w:val="0"/>
              <w:keepLines w:val="0"/>
              <w:pageBreakBefore w:val="0"/>
              <w:widowControl w:val="0"/>
              <w:kinsoku/>
              <w:wordWrap w:val="0"/>
              <w:overflowPunct/>
              <w:topLinePunct w:val="0"/>
              <w:bidi w:val="0"/>
              <w:spacing w:line="360" w:lineRule="auto"/>
              <w:ind w:left="-23" w:leftChars="-11" w:right="-65" w:rightChars="-31"/>
              <w:jc w:val="center"/>
              <w:textAlignment w:val="auto"/>
              <w:rPr>
                <w:rFonts w:cs="宋体"/>
                <w:b/>
                <w:sz w:val="24"/>
                <w:szCs w:val="24"/>
              </w:rPr>
            </w:pPr>
            <w:r>
              <w:rPr>
                <w:rFonts w:hint="eastAsia" w:cs="宋体"/>
                <w:b/>
                <w:sz w:val="24"/>
                <w:szCs w:val="24"/>
              </w:rPr>
              <w:t>制造厂家（全称）</w:t>
            </w:r>
          </w:p>
        </w:tc>
      </w:tr>
      <w:tr w14:paraId="2207C7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317E9AB8">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b/>
                <w:sz w:val="24"/>
                <w:szCs w:val="24"/>
              </w:rPr>
            </w:pPr>
            <w:r>
              <w:rPr>
                <w:rFonts w:hint="eastAsia"/>
                <w:b/>
                <w:sz w:val="24"/>
                <w:szCs w:val="24"/>
              </w:rPr>
              <w:t>1</w:t>
            </w:r>
          </w:p>
        </w:tc>
        <w:tc>
          <w:tcPr>
            <w:tcW w:w="2378" w:type="dxa"/>
            <w:shd w:val="clear" w:color="auto" w:fill="auto"/>
            <w:vAlign w:val="center"/>
          </w:tcPr>
          <w:p w14:paraId="44684753">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sz w:val="24"/>
                <w:szCs w:val="24"/>
              </w:rPr>
            </w:pPr>
            <w:r>
              <w:rPr>
                <w:rFonts w:hint="eastAsia"/>
                <w:sz w:val="24"/>
                <w:szCs w:val="24"/>
              </w:rPr>
              <w:t>货物（服务）名称1</w:t>
            </w:r>
          </w:p>
        </w:tc>
        <w:tc>
          <w:tcPr>
            <w:tcW w:w="1132" w:type="dxa"/>
            <w:shd w:val="clear" w:color="auto" w:fill="auto"/>
            <w:vAlign w:val="center"/>
          </w:tcPr>
          <w:p w14:paraId="2802AC54">
            <w:pPr>
              <w:keepNext w:val="0"/>
              <w:keepLines w:val="0"/>
              <w:pageBreakBefore w:val="0"/>
              <w:widowControl w:val="0"/>
              <w:kinsoku/>
              <w:wordWrap w:val="0"/>
              <w:overflowPunct/>
              <w:topLinePunct w:val="0"/>
              <w:bidi w:val="0"/>
              <w:spacing w:line="360" w:lineRule="auto"/>
              <w:ind w:left="-48" w:leftChars="-23" w:right="-65" w:rightChars="-31"/>
              <w:textAlignment w:val="auto"/>
              <w:rPr>
                <w:rFonts w:cs="宋体"/>
                <w:sz w:val="24"/>
                <w:szCs w:val="24"/>
              </w:rPr>
            </w:pPr>
          </w:p>
        </w:tc>
        <w:tc>
          <w:tcPr>
            <w:tcW w:w="655" w:type="dxa"/>
            <w:tcBorders>
              <w:right w:val="single" w:color="auto" w:sz="4" w:space="0"/>
            </w:tcBorders>
            <w:shd w:val="clear" w:color="auto" w:fill="auto"/>
            <w:vAlign w:val="center"/>
          </w:tcPr>
          <w:p w14:paraId="1D7D54AF">
            <w:pPr>
              <w:keepNext w:val="0"/>
              <w:keepLines w:val="0"/>
              <w:pageBreakBefore w:val="0"/>
              <w:widowControl w:val="0"/>
              <w:kinsoku/>
              <w:wordWrap w:val="0"/>
              <w:overflowPunct/>
              <w:topLinePunct w:val="0"/>
              <w:bidi w:val="0"/>
              <w:spacing w:line="360" w:lineRule="auto"/>
              <w:ind w:left="-48" w:leftChars="-23" w:right="-376" w:rightChars="-179"/>
              <w:jc w:val="center"/>
              <w:textAlignment w:val="auto"/>
              <w:rPr>
                <w:rFonts w:cs="宋体"/>
                <w:sz w:val="24"/>
                <w:szCs w:val="24"/>
              </w:rPr>
            </w:pPr>
          </w:p>
        </w:tc>
        <w:tc>
          <w:tcPr>
            <w:tcW w:w="627" w:type="dxa"/>
            <w:tcBorders>
              <w:left w:val="single" w:color="auto" w:sz="4" w:space="0"/>
            </w:tcBorders>
            <w:shd w:val="clear" w:color="auto" w:fill="auto"/>
            <w:vAlign w:val="center"/>
          </w:tcPr>
          <w:p w14:paraId="6336B2C2">
            <w:pPr>
              <w:keepNext w:val="0"/>
              <w:keepLines w:val="0"/>
              <w:pageBreakBefore w:val="0"/>
              <w:widowControl w:val="0"/>
              <w:kinsoku/>
              <w:wordWrap w:val="0"/>
              <w:overflowPunct/>
              <w:topLinePunct w:val="0"/>
              <w:bidi w:val="0"/>
              <w:spacing w:line="360" w:lineRule="auto"/>
              <w:ind w:left="-48" w:leftChars="-23" w:right="-376" w:rightChars="-179"/>
              <w:jc w:val="center"/>
              <w:textAlignment w:val="auto"/>
              <w:rPr>
                <w:rFonts w:cs="宋体"/>
                <w:sz w:val="24"/>
                <w:szCs w:val="24"/>
              </w:rPr>
            </w:pPr>
          </w:p>
        </w:tc>
        <w:tc>
          <w:tcPr>
            <w:tcW w:w="859" w:type="dxa"/>
            <w:shd w:val="clear" w:color="auto" w:fill="auto"/>
            <w:vAlign w:val="center"/>
          </w:tcPr>
          <w:p w14:paraId="78111612">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p>
        </w:tc>
        <w:tc>
          <w:tcPr>
            <w:tcW w:w="1425" w:type="dxa"/>
            <w:shd w:val="clear" w:color="auto" w:fill="auto"/>
            <w:vAlign w:val="center"/>
          </w:tcPr>
          <w:p w14:paraId="5127AF34">
            <w:pPr>
              <w:keepNext w:val="0"/>
              <w:keepLines w:val="0"/>
              <w:pageBreakBefore w:val="0"/>
              <w:widowControl w:val="0"/>
              <w:kinsoku/>
              <w:wordWrap w:val="0"/>
              <w:overflowPunct/>
              <w:topLinePunct w:val="0"/>
              <w:bidi w:val="0"/>
              <w:spacing w:line="360" w:lineRule="auto"/>
              <w:ind w:left="-48" w:leftChars="-23" w:right="-65" w:rightChars="-31"/>
              <w:textAlignment w:val="auto"/>
              <w:rPr>
                <w:rFonts w:cs="宋体"/>
                <w:sz w:val="24"/>
                <w:szCs w:val="24"/>
              </w:rPr>
            </w:pPr>
          </w:p>
        </w:tc>
        <w:tc>
          <w:tcPr>
            <w:tcW w:w="1134" w:type="dxa"/>
            <w:shd w:val="clear" w:color="auto" w:fill="auto"/>
            <w:vAlign w:val="center"/>
          </w:tcPr>
          <w:p w14:paraId="65E875B9">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p>
        </w:tc>
      </w:tr>
      <w:tr w14:paraId="45187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9A388B8">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b/>
                <w:sz w:val="24"/>
                <w:szCs w:val="24"/>
              </w:rPr>
            </w:pPr>
            <w:r>
              <w:rPr>
                <w:rFonts w:hint="eastAsia"/>
                <w:b/>
                <w:sz w:val="24"/>
                <w:szCs w:val="24"/>
              </w:rPr>
              <w:t>2</w:t>
            </w:r>
          </w:p>
        </w:tc>
        <w:tc>
          <w:tcPr>
            <w:tcW w:w="2378" w:type="dxa"/>
            <w:shd w:val="clear" w:color="auto" w:fill="auto"/>
            <w:vAlign w:val="center"/>
          </w:tcPr>
          <w:p w14:paraId="1614A931">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sz w:val="24"/>
                <w:szCs w:val="24"/>
              </w:rPr>
            </w:pPr>
            <w:r>
              <w:rPr>
                <w:rFonts w:hint="eastAsia"/>
                <w:sz w:val="24"/>
                <w:szCs w:val="24"/>
              </w:rPr>
              <w:t>货物（服务）名称2</w:t>
            </w:r>
          </w:p>
        </w:tc>
        <w:tc>
          <w:tcPr>
            <w:tcW w:w="1132" w:type="dxa"/>
            <w:shd w:val="clear" w:color="auto" w:fill="auto"/>
            <w:vAlign w:val="center"/>
          </w:tcPr>
          <w:p w14:paraId="22A01E56">
            <w:pPr>
              <w:keepNext w:val="0"/>
              <w:keepLines w:val="0"/>
              <w:pageBreakBefore w:val="0"/>
              <w:widowControl w:val="0"/>
              <w:kinsoku/>
              <w:wordWrap w:val="0"/>
              <w:overflowPunct/>
              <w:topLinePunct w:val="0"/>
              <w:bidi w:val="0"/>
              <w:spacing w:line="360" w:lineRule="auto"/>
              <w:ind w:left="-48" w:leftChars="-23" w:right="-65" w:rightChars="-31"/>
              <w:textAlignment w:val="auto"/>
              <w:rPr>
                <w:rFonts w:cs="宋体"/>
                <w:sz w:val="24"/>
                <w:szCs w:val="24"/>
              </w:rPr>
            </w:pPr>
          </w:p>
        </w:tc>
        <w:tc>
          <w:tcPr>
            <w:tcW w:w="655" w:type="dxa"/>
            <w:tcBorders>
              <w:right w:val="single" w:color="auto" w:sz="4" w:space="0"/>
            </w:tcBorders>
            <w:shd w:val="clear" w:color="auto" w:fill="auto"/>
            <w:vAlign w:val="center"/>
          </w:tcPr>
          <w:p w14:paraId="64AC912F">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p>
        </w:tc>
        <w:tc>
          <w:tcPr>
            <w:tcW w:w="627" w:type="dxa"/>
            <w:tcBorders>
              <w:left w:val="single" w:color="auto" w:sz="4" w:space="0"/>
            </w:tcBorders>
            <w:shd w:val="clear" w:color="auto" w:fill="auto"/>
            <w:vAlign w:val="center"/>
          </w:tcPr>
          <w:p w14:paraId="76C5B6BE">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p>
        </w:tc>
        <w:tc>
          <w:tcPr>
            <w:tcW w:w="859" w:type="dxa"/>
            <w:shd w:val="clear" w:color="auto" w:fill="auto"/>
            <w:vAlign w:val="center"/>
          </w:tcPr>
          <w:p w14:paraId="60B96A8B">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p>
        </w:tc>
        <w:tc>
          <w:tcPr>
            <w:tcW w:w="1425" w:type="dxa"/>
            <w:shd w:val="clear" w:color="auto" w:fill="auto"/>
            <w:vAlign w:val="center"/>
          </w:tcPr>
          <w:p w14:paraId="56EF3F73">
            <w:pPr>
              <w:keepNext w:val="0"/>
              <w:keepLines w:val="0"/>
              <w:pageBreakBefore w:val="0"/>
              <w:widowControl w:val="0"/>
              <w:kinsoku/>
              <w:wordWrap w:val="0"/>
              <w:overflowPunct/>
              <w:topLinePunct w:val="0"/>
              <w:bidi w:val="0"/>
              <w:spacing w:line="360" w:lineRule="auto"/>
              <w:ind w:left="-48" w:leftChars="-23" w:right="-65" w:rightChars="-31"/>
              <w:textAlignment w:val="auto"/>
              <w:rPr>
                <w:rFonts w:cs="宋体"/>
                <w:sz w:val="24"/>
                <w:szCs w:val="24"/>
              </w:rPr>
            </w:pPr>
          </w:p>
        </w:tc>
        <w:tc>
          <w:tcPr>
            <w:tcW w:w="1134" w:type="dxa"/>
            <w:shd w:val="clear" w:color="auto" w:fill="auto"/>
            <w:vAlign w:val="center"/>
          </w:tcPr>
          <w:p w14:paraId="11CF740C">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p>
        </w:tc>
      </w:tr>
      <w:tr w14:paraId="39436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2CF90D4A">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sz w:val="24"/>
                <w:szCs w:val="24"/>
              </w:rPr>
            </w:pPr>
            <w:r>
              <w:rPr>
                <w:rFonts w:hint="eastAsia"/>
                <w:sz w:val="24"/>
                <w:szCs w:val="24"/>
              </w:rPr>
              <w:t>…</w:t>
            </w:r>
          </w:p>
        </w:tc>
        <w:tc>
          <w:tcPr>
            <w:tcW w:w="2378" w:type="dxa"/>
            <w:shd w:val="clear" w:color="auto" w:fill="auto"/>
            <w:vAlign w:val="center"/>
          </w:tcPr>
          <w:p w14:paraId="511F839E">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r>
              <w:rPr>
                <w:rFonts w:hint="eastAsia"/>
                <w:sz w:val="24"/>
                <w:szCs w:val="24"/>
              </w:rPr>
              <w:t>……</w:t>
            </w:r>
          </w:p>
        </w:tc>
        <w:tc>
          <w:tcPr>
            <w:tcW w:w="1132" w:type="dxa"/>
            <w:shd w:val="clear" w:color="auto" w:fill="auto"/>
            <w:vAlign w:val="center"/>
          </w:tcPr>
          <w:p w14:paraId="43EC1E0D">
            <w:pPr>
              <w:keepNext w:val="0"/>
              <w:keepLines w:val="0"/>
              <w:pageBreakBefore w:val="0"/>
              <w:widowControl w:val="0"/>
              <w:kinsoku/>
              <w:wordWrap w:val="0"/>
              <w:overflowPunct/>
              <w:topLinePunct w:val="0"/>
              <w:bidi w:val="0"/>
              <w:spacing w:line="360" w:lineRule="auto"/>
              <w:ind w:left="-48" w:leftChars="-23" w:right="-65" w:rightChars="-31"/>
              <w:textAlignment w:val="auto"/>
              <w:rPr>
                <w:rFonts w:cs="宋体"/>
                <w:sz w:val="24"/>
                <w:szCs w:val="24"/>
              </w:rPr>
            </w:pPr>
            <w:r>
              <w:rPr>
                <w:rFonts w:hint="eastAsia"/>
                <w:sz w:val="24"/>
                <w:szCs w:val="24"/>
              </w:rPr>
              <w:t>…</w:t>
            </w:r>
          </w:p>
        </w:tc>
        <w:tc>
          <w:tcPr>
            <w:tcW w:w="655" w:type="dxa"/>
            <w:tcBorders>
              <w:right w:val="single" w:color="auto" w:sz="4" w:space="0"/>
            </w:tcBorders>
            <w:shd w:val="clear" w:color="auto" w:fill="auto"/>
            <w:vAlign w:val="center"/>
          </w:tcPr>
          <w:p w14:paraId="16EBDA3A">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r>
              <w:rPr>
                <w:rFonts w:hint="eastAsia"/>
                <w:sz w:val="24"/>
                <w:szCs w:val="24"/>
              </w:rPr>
              <w:t>…</w:t>
            </w:r>
          </w:p>
        </w:tc>
        <w:tc>
          <w:tcPr>
            <w:tcW w:w="627" w:type="dxa"/>
            <w:tcBorders>
              <w:left w:val="single" w:color="auto" w:sz="4" w:space="0"/>
            </w:tcBorders>
            <w:shd w:val="clear" w:color="auto" w:fill="auto"/>
            <w:vAlign w:val="center"/>
          </w:tcPr>
          <w:p w14:paraId="750E7BFE">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r>
              <w:rPr>
                <w:rFonts w:hint="eastAsia"/>
                <w:sz w:val="24"/>
                <w:szCs w:val="24"/>
              </w:rPr>
              <w:t>…</w:t>
            </w:r>
          </w:p>
        </w:tc>
        <w:tc>
          <w:tcPr>
            <w:tcW w:w="859" w:type="dxa"/>
            <w:shd w:val="clear" w:color="auto" w:fill="auto"/>
            <w:vAlign w:val="center"/>
          </w:tcPr>
          <w:p w14:paraId="7D0D8DB5">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r>
              <w:rPr>
                <w:rFonts w:hint="eastAsia"/>
                <w:sz w:val="24"/>
                <w:szCs w:val="24"/>
              </w:rPr>
              <w:t>…</w:t>
            </w:r>
          </w:p>
        </w:tc>
        <w:tc>
          <w:tcPr>
            <w:tcW w:w="1425" w:type="dxa"/>
            <w:shd w:val="clear" w:color="auto" w:fill="auto"/>
            <w:vAlign w:val="center"/>
          </w:tcPr>
          <w:p w14:paraId="6083F2D8">
            <w:pPr>
              <w:keepNext w:val="0"/>
              <w:keepLines w:val="0"/>
              <w:pageBreakBefore w:val="0"/>
              <w:widowControl w:val="0"/>
              <w:kinsoku/>
              <w:wordWrap w:val="0"/>
              <w:overflowPunct/>
              <w:topLinePunct w:val="0"/>
              <w:bidi w:val="0"/>
              <w:spacing w:line="360" w:lineRule="auto"/>
              <w:ind w:left="-48" w:leftChars="-23" w:right="-65" w:rightChars="-31"/>
              <w:textAlignment w:val="auto"/>
              <w:rPr>
                <w:rFonts w:cs="宋体"/>
                <w:sz w:val="24"/>
                <w:szCs w:val="24"/>
              </w:rPr>
            </w:pPr>
            <w:r>
              <w:rPr>
                <w:rFonts w:hint="eastAsia"/>
                <w:sz w:val="24"/>
                <w:szCs w:val="24"/>
              </w:rPr>
              <w:t>…</w:t>
            </w:r>
          </w:p>
        </w:tc>
        <w:tc>
          <w:tcPr>
            <w:tcW w:w="1134" w:type="dxa"/>
            <w:shd w:val="clear" w:color="auto" w:fill="auto"/>
            <w:vAlign w:val="center"/>
          </w:tcPr>
          <w:p w14:paraId="0A5F6836">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sz w:val="24"/>
                <w:szCs w:val="24"/>
              </w:rPr>
            </w:pPr>
            <w:r>
              <w:rPr>
                <w:rFonts w:hint="eastAsia"/>
                <w:sz w:val="24"/>
                <w:szCs w:val="24"/>
              </w:rPr>
              <w:t>…</w:t>
            </w:r>
          </w:p>
        </w:tc>
      </w:tr>
      <w:tr w14:paraId="3AA525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9EFC990">
            <w:pPr>
              <w:keepNext w:val="0"/>
              <w:keepLines w:val="0"/>
              <w:pageBreakBefore w:val="0"/>
              <w:widowControl w:val="0"/>
              <w:kinsoku/>
              <w:wordWrap w:val="0"/>
              <w:overflowPunct/>
              <w:topLinePunct w:val="0"/>
              <w:bidi w:val="0"/>
              <w:spacing w:line="360" w:lineRule="auto"/>
              <w:ind w:left="-48" w:leftChars="-23" w:right="-65" w:rightChars="-31"/>
              <w:jc w:val="center"/>
              <w:textAlignment w:val="auto"/>
              <w:rPr>
                <w:rFonts w:cs="宋体"/>
                <w:b/>
                <w:sz w:val="24"/>
                <w:szCs w:val="24"/>
              </w:rPr>
            </w:pPr>
            <w:r>
              <w:rPr>
                <w:rFonts w:hint="eastAsia" w:cs="宋体"/>
                <w:b/>
                <w:sz w:val="24"/>
                <w:szCs w:val="24"/>
              </w:rPr>
              <w:t>合计</w:t>
            </w:r>
          </w:p>
        </w:tc>
        <w:tc>
          <w:tcPr>
            <w:tcW w:w="2559" w:type="dxa"/>
            <w:gridSpan w:val="2"/>
            <w:shd w:val="clear" w:color="auto" w:fill="auto"/>
            <w:vAlign w:val="center"/>
          </w:tcPr>
          <w:p w14:paraId="466200B8">
            <w:pPr>
              <w:keepNext w:val="0"/>
              <w:keepLines w:val="0"/>
              <w:pageBreakBefore w:val="0"/>
              <w:widowControl w:val="0"/>
              <w:kinsoku/>
              <w:wordWrap w:val="0"/>
              <w:overflowPunct/>
              <w:topLinePunct w:val="0"/>
              <w:bidi w:val="0"/>
              <w:spacing w:line="360" w:lineRule="auto"/>
              <w:ind w:left="-48" w:leftChars="-23" w:right="-65" w:rightChars="-31"/>
              <w:textAlignment w:val="auto"/>
              <w:rPr>
                <w:rFonts w:cs="宋体"/>
                <w:sz w:val="24"/>
                <w:szCs w:val="24"/>
              </w:rPr>
            </w:pPr>
          </w:p>
        </w:tc>
      </w:tr>
    </w:tbl>
    <w:p w14:paraId="7CA3FA49">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sz w:val="24"/>
          <w:szCs w:val="24"/>
          <w:lang w:val="zh-CN"/>
        </w:rPr>
      </w:pPr>
      <w:r>
        <w:rPr>
          <w:rFonts w:hint="eastAsia" w:cs="Helvetica"/>
          <w:b/>
          <w:sz w:val="24"/>
          <w:szCs w:val="24"/>
          <w:lang w:val="zh-CN"/>
        </w:rPr>
        <w:t>货物（服务）质量</w:t>
      </w:r>
    </w:p>
    <w:p w14:paraId="1F943D3B">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contextualSpacing/>
        <w:textAlignment w:val="auto"/>
        <w:rPr>
          <w:rFonts w:cs="Helvetica"/>
          <w:bCs/>
          <w:iCs/>
          <w:sz w:val="24"/>
          <w:szCs w:val="24"/>
          <w:lang w:val="zh-CN"/>
        </w:rPr>
      </w:pPr>
      <w:r>
        <w:rPr>
          <w:rFonts w:hint="eastAsia" w:cs="Helvetica"/>
          <w:iCs/>
          <w:sz w:val="24"/>
          <w:szCs w:val="24"/>
          <w:u w:val="single"/>
        </w:rPr>
        <w:t xml:space="preserve">          </w:t>
      </w:r>
      <w:r>
        <w:rPr>
          <w:rFonts w:hint="eastAsia" w:cs="Helvetica"/>
          <w:i/>
          <w:iCs/>
          <w:sz w:val="24"/>
          <w:szCs w:val="24"/>
          <w:u w:val="single"/>
        </w:rPr>
        <w:t>(以磋商文件要求以及响应文件的响应)</w:t>
      </w:r>
      <w:r>
        <w:rPr>
          <w:rFonts w:hint="eastAsia" w:cs="Helvetica"/>
          <w:iCs/>
          <w:sz w:val="24"/>
          <w:szCs w:val="24"/>
          <w:u w:val="single"/>
        </w:rPr>
        <w:t xml:space="preserve">                    </w:t>
      </w:r>
      <w:r>
        <w:rPr>
          <w:rFonts w:hint="eastAsia" w:cs="Helvetica"/>
          <w:iCs/>
          <w:sz w:val="24"/>
          <w:szCs w:val="24"/>
        </w:rPr>
        <w:t xml:space="preserve">。  </w:t>
      </w:r>
    </w:p>
    <w:p w14:paraId="4480984A">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sz w:val="24"/>
          <w:szCs w:val="24"/>
          <w:lang w:val="zh-CN"/>
        </w:rPr>
      </w:pPr>
      <w:r>
        <w:rPr>
          <w:rFonts w:hint="eastAsia" w:cs="Helvetica"/>
          <w:b/>
          <w:sz w:val="24"/>
          <w:szCs w:val="24"/>
          <w:lang w:val="zh-CN"/>
        </w:rPr>
        <w:t>合同履行时间（期限）、地点和方式</w:t>
      </w:r>
    </w:p>
    <w:p w14:paraId="5960C813">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1．合同履行时间：</w:t>
      </w:r>
      <w:r>
        <w:rPr>
          <w:rFonts w:hint="eastAsia"/>
          <w:sz w:val="24"/>
          <w:szCs w:val="24"/>
          <w:lang w:val="zh-CN"/>
        </w:rPr>
        <w:t>自</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日止；</w:t>
      </w:r>
    </w:p>
    <w:p w14:paraId="206FFD55">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2．交付或服务地点及方式：</w:t>
      </w:r>
      <w:r>
        <w:rPr>
          <w:rFonts w:hint="eastAsia" w:cs="宋体"/>
          <w:sz w:val="24"/>
          <w:szCs w:val="24"/>
          <w:u w:val="single"/>
        </w:rPr>
        <w:t xml:space="preserve">      </w:t>
      </w:r>
      <w:r>
        <w:rPr>
          <w:rFonts w:hint="eastAsia" w:cs="宋体"/>
          <w:i/>
          <w:sz w:val="24"/>
          <w:szCs w:val="24"/>
          <w:u w:val="single"/>
        </w:rPr>
        <w:t xml:space="preserve"> (见磋商文件)</w:t>
      </w:r>
      <w:r>
        <w:rPr>
          <w:rFonts w:hint="eastAsia" w:cs="宋体"/>
          <w:sz w:val="24"/>
          <w:szCs w:val="24"/>
          <w:u w:val="single"/>
        </w:rPr>
        <w:t xml:space="preserve">                     </w:t>
      </w:r>
      <w:r>
        <w:rPr>
          <w:rFonts w:hint="eastAsia"/>
          <w:i/>
          <w:sz w:val="24"/>
          <w:szCs w:val="24"/>
        </w:rPr>
        <w:t>。</w:t>
      </w:r>
    </w:p>
    <w:p w14:paraId="54FA8A2C">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sz w:val="24"/>
          <w:szCs w:val="24"/>
          <w:lang w:val="zh-CN"/>
        </w:rPr>
      </w:pPr>
      <w:r>
        <w:rPr>
          <w:rFonts w:hint="eastAsia"/>
          <w:b/>
          <w:iCs/>
          <w:sz w:val="24"/>
          <w:szCs w:val="24"/>
        </w:rPr>
        <w:t>包装及运输</w:t>
      </w:r>
    </w:p>
    <w:p w14:paraId="2D76DE08">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firstLine="720" w:firstLineChars="300"/>
        <w:contextualSpacing/>
        <w:textAlignment w:val="auto"/>
        <w:rPr>
          <w:rFonts w:cs="宋体"/>
          <w:sz w:val="24"/>
          <w:szCs w:val="24"/>
        </w:rPr>
      </w:pPr>
      <w:r>
        <w:rPr>
          <w:rFonts w:hint="eastAsia" w:cs="宋体"/>
          <w:sz w:val="24"/>
          <w:szCs w:val="24"/>
          <w:u w:val="single"/>
        </w:rPr>
        <w:t xml:space="preserve">                              </w:t>
      </w:r>
      <w:r>
        <w:rPr>
          <w:rFonts w:hint="eastAsia" w:cs="宋体"/>
          <w:i/>
          <w:sz w:val="24"/>
          <w:szCs w:val="24"/>
          <w:u w:val="single"/>
        </w:rPr>
        <w:t>(见磋商文件)</w:t>
      </w:r>
      <w:r>
        <w:rPr>
          <w:rFonts w:hint="eastAsia" w:cs="宋体"/>
          <w:sz w:val="24"/>
          <w:szCs w:val="24"/>
          <w:u w:val="single"/>
        </w:rPr>
        <w:t xml:space="preserve">                      </w:t>
      </w:r>
      <w:r>
        <w:rPr>
          <w:rFonts w:hint="eastAsia" w:cs="宋体"/>
          <w:sz w:val="24"/>
          <w:szCs w:val="24"/>
        </w:rPr>
        <w:t>。</w:t>
      </w:r>
    </w:p>
    <w:p w14:paraId="6B0D1A84">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sz w:val="24"/>
          <w:szCs w:val="24"/>
          <w:lang w:val="zh-CN"/>
        </w:rPr>
      </w:pPr>
      <w:r>
        <w:rPr>
          <w:rFonts w:hint="eastAsia" w:cs="Helvetica"/>
          <w:b/>
          <w:sz w:val="24"/>
          <w:szCs w:val="24"/>
          <w:lang w:val="zh-CN"/>
        </w:rPr>
        <w:t xml:space="preserve">合同价款  </w:t>
      </w:r>
    </w:p>
    <w:p w14:paraId="068EBB40">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Helvetica"/>
          <w:sz w:val="24"/>
          <w:szCs w:val="24"/>
        </w:rPr>
      </w:pPr>
      <w:r>
        <w:rPr>
          <w:rFonts w:hint="eastAsia" w:cs="Helvetica"/>
          <w:sz w:val="24"/>
          <w:szCs w:val="24"/>
          <w:lang w:val="zh-CN"/>
        </w:rPr>
        <w:t>1．本合同金额为（大写）：人民币</w:t>
      </w:r>
      <w:r>
        <w:rPr>
          <w:rFonts w:hint="eastAsia" w:cs="Helvetica"/>
          <w:sz w:val="24"/>
          <w:szCs w:val="24"/>
          <w:u w:val="single"/>
        </w:rPr>
        <w:t xml:space="preserve">   </w:t>
      </w:r>
      <w:r>
        <w:rPr>
          <w:rFonts w:hint="eastAsia" w:cs="Helvetica"/>
          <w:bCs/>
          <w:i/>
          <w:iCs/>
          <w:sz w:val="24"/>
          <w:szCs w:val="24"/>
          <w:u w:val="single"/>
        </w:rPr>
        <w:t>(见磋商文件)</w:t>
      </w:r>
      <w:r>
        <w:rPr>
          <w:rFonts w:hint="eastAsia" w:cs="Helvetica"/>
          <w:sz w:val="24"/>
          <w:szCs w:val="24"/>
          <w:u w:val="single"/>
        </w:rPr>
        <w:t xml:space="preserve">   </w:t>
      </w:r>
      <w:r>
        <w:rPr>
          <w:rFonts w:hint="eastAsia" w:cs="Helvetica"/>
          <w:sz w:val="24"/>
          <w:szCs w:val="24"/>
        </w:rPr>
        <w:t>元（</w:t>
      </w:r>
      <w:r>
        <w:rPr>
          <w:rFonts w:cs="Arial"/>
          <w:sz w:val="24"/>
          <w:szCs w:val="24"/>
        </w:rPr>
        <w:t>¥</w:t>
      </w:r>
      <w:r>
        <w:rPr>
          <w:rFonts w:hint="eastAsia" w:cs="Helvetica"/>
          <w:sz w:val="24"/>
          <w:szCs w:val="24"/>
        </w:rPr>
        <w:t>：</w:t>
      </w:r>
      <w:r>
        <w:rPr>
          <w:rFonts w:hint="eastAsia" w:cs="Helvetica"/>
          <w:sz w:val="24"/>
          <w:szCs w:val="24"/>
          <w:u w:val="single"/>
        </w:rPr>
        <w:t xml:space="preserve">          </w:t>
      </w:r>
      <w:r>
        <w:rPr>
          <w:rFonts w:hint="eastAsia" w:cs="Helvetica"/>
          <w:sz w:val="24"/>
          <w:szCs w:val="24"/>
        </w:rPr>
        <w:t>）；</w:t>
      </w:r>
    </w:p>
    <w:p w14:paraId="73CC22A2">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宋体"/>
          <w:sz w:val="24"/>
          <w:szCs w:val="24"/>
        </w:rPr>
      </w:pPr>
      <w:r>
        <w:rPr>
          <w:rFonts w:hint="eastAsia" w:cs="Helvetica"/>
          <w:sz w:val="24"/>
          <w:szCs w:val="24"/>
        </w:rPr>
        <w:t>2．合同金额包括乙方</w:t>
      </w:r>
      <w:r>
        <w:rPr>
          <w:rFonts w:hint="eastAsia" w:cs="宋体"/>
          <w:sz w:val="24"/>
          <w:szCs w:val="24"/>
        </w:rPr>
        <w:t>完成本合同约定的全部工作可能发生的所有费用（含市场变化等可能发生的费用），即总报价为“交钥匙”价</w:t>
      </w:r>
      <w:r>
        <w:rPr>
          <w:rFonts w:hint="eastAsia" w:cs="宋体"/>
          <w:sz w:val="24"/>
          <w:szCs w:val="24"/>
          <w:lang w:val="zh-CN"/>
        </w:rPr>
        <w:t>。</w:t>
      </w:r>
      <w:r>
        <w:rPr>
          <w:rFonts w:hint="eastAsia" w:cs="宋体"/>
          <w:sz w:val="24"/>
          <w:szCs w:val="24"/>
        </w:rPr>
        <w:t>甲方在支付此金额后，不再因本合同支付任何其它费用；</w:t>
      </w:r>
    </w:p>
    <w:p w14:paraId="429D9F1D">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u w:val="single"/>
        </w:rPr>
      </w:pPr>
      <w:r>
        <w:rPr>
          <w:rFonts w:hint="eastAsia" w:cs="Helvetica"/>
          <w:sz w:val="24"/>
          <w:szCs w:val="24"/>
        </w:rPr>
        <w:t>3．</w:t>
      </w:r>
      <w:r>
        <w:rPr>
          <w:rFonts w:hint="eastAsia" w:cs="宋体"/>
          <w:sz w:val="24"/>
          <w:szCs w:val="24"/>
          <w:u w:val="single"/>
        </w:rPr>
        <w:t xml:space="preserve">                                                             </w:t>
      </w:r>
      <w:r>
        <w:rPr>
          <w:rFonts w:hint="eastAsia" w:cs="宋体"/>
          <w:sz w:val="24"/>
          <w:szCs w:val="24"/>
        </w:rPr>
        <w:t xml:space="preserve"> 。</w:t>
      </w:r>
    </w:p>
    <w:p w14:paraId="2FB9661B">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sz w:val="24"/>
          <w:szCs w:val="24"/>
          <w:lang w:val="zh-CN"/>
        </w:rPr>
      </w:pPr>
      <w:r>
        <w:rPr>
          <w:rFonts w:hint="eastAsia" w:cs="Helvetica"/>
          <w:b/>
          <w:sz w:val="24"/>
          <w:szCs w:val="24"/>
          <w:lang w:val="zh-CN"/>
        </w:rPr>
        <w:t>资金支付方式及安排</w:t>
      </w:r>
    </w:p>
    <w:p w14:paraId="1BCF461E">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720" w:firstLineChars="300"/>
        <w:contextualSpacing/>
        <w:textAlignment w:val="auto"/>
        <w:rPr>
          <w:rFonts w:cs="Helvetica"/>
          <w:bCs/>
          <w:iCs/>
          <w:sz w:val="24"/>
          <w:szCs w:val="24"/>
        </w:rPr>
      </w:pPr>
      <w:r>
        <w:rPr>
          <w:rFonts w:hint="eastAsia" w:cs="Helvetica"/>
          <w:bCs/>
          <w:iCs/>
          <w:sz w:val="24"/>
          <w:szCs w:val="24"/>
          <w:u w:val="single"/>
        </w:rPr>
        <w:t xml:space="preserve">     </w:t>
      </w:r>
      <w:r>
        <w:rPr>
          <w:rFonts w:hint="eastAsia" w:cs="Helvetica"/>
          <w:bCs/>
          <w:i/>
          <w:iCs/>
          <w:sz w:val="24"/>
          <w:szCs w:val="24"/>
          <w:u w:val="single"/>
        </w:rPr>
        <w:t>(见竞争性磋商文件)</w:t>
      </w:r>
      <w:r>
        <w:rPr>
          <w:rFonts w:hint="eastAsia" w:cs="Helvetica"/>
          <w:bCs/>
          <w:iCs/>
          <w:sz w:val="24"/>
          <w:szCs w:val="24"/>
          <w:u w:val="single"/>
        </w:rPr>
        <w:t xml:space="preserve">                                 </w:t>
      </w:r>
      <w:r>
        <w:rPr>
          <w:rFonts w:hint="eastAsia" w:cs="Helvetica"/>
          <w:bCs/>
          <w:iCs/>
          <w:sz w:val="24"/>
          <w:szCs w:val="24"/>
        </w:rPr>
        <w:t>。</w:t>
      </w:r>
    </w:p>
    <w:p w14:paraId="732917F2">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sz w:val="24"/>
          <w:szCs w:val="24"/>
          <w:lang w:val="zh-CN"/>
        </w:rPr>
      </w:pPr>
      <w:r>
        <w:rPr>
          <w:rFonts w:hint="eastAsia" w:cs="Helvetica"/>
          <w:b/>
          <w:sz w:val="24"/>
          <w:szCs w:val="24"/>
          <w:lang w:val="zh-CN"/>
        </w:rPr>
        <w:t>交付标准、方法和验收方案</w:t>
      </w:r>
    </w:p>
    <w:p w14:paraId="7E0E6069">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宋体"/>
          <w:sz w:val="24"/>
          <w:szCs w:val="24"/>
        </w:rPr>
      </w:pPr>
      <w:r>
        <w:rPr>
          <w:rFonts w:hint="eastAsia" w:cs="宋体"/>
          <w:sz w:val="24"/>
          <w:szCs w:val="24"/>
        </w:rPr>
        <w:t>1．</w:t>
      </w:r>
      <w:r>
        <w:rPr>
          <w:rFonts w:hint="eastAsia" w:cs="Helvetica"/>
          <w:bCs/>
          <w:sz w:val="24"/>
          <w:szCs w:val="24"/>
          <w:lang w:val="zh-CN"/>
        </w:rPr>
        <w:t>交付标准、方法：</w:t>
      </w:r>
      <w:r>
        <w:rPr>
          <w:rFonts w:hint="eastAsia" w:cs="Helvetica"/>
          <w:bCs/>
          <w:sz w:val="24"/>
          <w:szCs w:val="24"/>
          <w:u w:val="single"/>
          <w:lang w:val="zh-CN"/>
        </w:rPr>
        <w:t xml:space="preserve">        </w:t>
      </w:r>
      <w:r>
        <w:rPr>
          <w:rFonts w:hint="eastAsia" w:cs="Helvetica"/>
          <w:bCs/>
          <w:i/>
          <w:iCs/>
          <w:sz w:val="24"/>
          <w:szCs w:val="24"/>
          <w:u w:val="single"/>
        </w:rPr>
        <w:t>(见磋商文件)</w:t>
      </w:r>
      <w:r>
        <w:rPr>
          <w:rFonts w:hint="eastAsia" w:cs="Helvetica"/>
          <w:bCs/>
          <w:sz w:val="24"/>
          <w:szCs w:val="24"/>
          <w:u w:val="single"/>
          <w:lang w:val="zh-CN"/>
        </w:rPr>
        <w:t xml:space="preserve">                   </w:t>
      </w:r>
      <w:r>
        <w:rPr>
          <w:rFonts w:hint="eastAsia" w:cs="Helvetica"/>
          <w:bCs/>
          <w:sz w:val="24"/>
          <w:szCs w:val="24"/>
          <w:lang w:val="zh-CN"/>
        </w:rPr>
        <w:t>；</w:t>
      </w:r>
    </w:p>
    <w:p w14:paraId="37FBED68">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Helvetica"/>
          <w:bCs/>
          <w:sz w:val="24"/>
          <w:szCs w:val="24"/>
        </w:rPr>
      </w:pPr>
      <w:r>
        <w:rPr>
          <w:rFonts w:hint="eastAsia" w:cs="宋体"/>
          <w:sz w:val="24"/>
          <w:szCs w:val="24"/>
        </w:rPr>
        <w:t>2．</w:t>
      </w:r>
      <w:r>
        <w:rPr>
          <w:rFonts w:hint="eastAsia" w:cs="Helvetica"/>
          <w:bCs/>
          <w:sz w:val="24"/>
          <w:szCs w:val="24"/>
          <w:lang w:val="zh-CN"/>
        </w:rPr>
        <w:t>验收方案：</w:t>
      </w:r>
      <w:r>
        <w:rPr>
          <w:rFonts w:hint="eastAsia" w:cs="Helvetica"/>
          <w:bCs/>
          <w:sz w:val="24"/>
          <w:szCs w:val="24"/>
          <w:u w:val="single"/>
        </w:rPr>
        <w:t xml:space="preserve"> </w:t>
      </w:r>
      <w:r>
        <w:rPr>
          <w:rFonts w:hint="eastAsia" w:cs="Helvetica"/>
          <w:bCs/>
          <w:iCs/>
          <w:sz w:val="24"/>
          <w:szCs w:val="24"/>
          <w:u w:val="single"/>
        </w:rPr>
        <w:t xml:space="preserve">           </w:t>
      </w:r>
      <w:r>
        <w:rPr>
          <w:rFonts w:hint="eastAsia" w:cs="Helvetica"/>
          <w:bCs/>
          <w:i/>
          <w:iCs/>
          <w:sz w:val="24"/>
          <w:szCs w:val="24"/>
          <w:u w:val="single"/>
        </w:rPr>
        <w:t>(见磋商文件)</w:t>
      </w:r>
      <w:r>
        <w:rPr>
          <w:rFonts w:hint="eastAsia" w:cs="Helvetica"/>
          <w:bCs/>
          <w:iCs/>
          <w:sz w:val="24"/>
          <w:szCs w:val="24"/>
          <w:u w:val="single"/>
        </w:rPr>
        <w:t xml:space="preserve">           </w:t>
      </w:r>
      <w:r>
        <w:rPr>
          <w:rFonts w:cs="Helvetica"/>
          <w:bCs/>
          <w:iCs/>
          <w:sz w:val="24"/>
          <w:szCs w:val="24"/>
          <w:u w:val="single"/>
        </w:rPr>
        <w:t xml:space="preserve"> </w:t>
      </w:r>
      <w:r>
        <w:rPr>
          <w:rFonts w:hint="eastAsia" w:cs="Helvetica"/>
          <w:bCs/>
          <w:iCs/>
          <w:sz w:val="24"/>
          <w:szCs w:val="24"/>
          <w:u w:val="single"/>
        </w:rPr>
        <w:t xml:space="preserve">         </w:t>
      </w:r>
      <w:r>
        <w:rPr>
          <w:rFonts w:hint="eastAsia" w:cs="Helvetica"/>
          <w:bCs/>
          <w:iCs/>
          <w:sz w:val="24"/>
          <w:szCs w:val="24"/>
        </w:rPr>
        <w:t>。</w:t>
      </w:r>
    </w:p>
    <w:p w14:paraId="77E37BF3">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sz w:val="24"/>
          <w:szCs w:val="24"/>
          <w:lang w:val="zh-CN"/>
        </w:rPr>
      </w:pPr>
      <w:r>
        <w:rPr>
          <w:rFonts w:hint="eastAsia" w:cs="Helvetica"/>
          <w:b/>
          <w:sz w:val="24"/>
          <w:szCs w:val="24"/>
          <w:lang w:val="zh-CN"/>
        </w:rPr>
        <w:t>质保（服务）期及质保（服务）范围和要求</w:t>
      </w:r>
    </w:p>
    <w:p w14:paraId="7B5976CD">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Helvetica"/>
          <w:sz w:val="24"/>
          <w:szCs w:val="24"/>
          <w:u w:val="single"/>
        </w:rPr>
      </w:pPr>
      <w:r>
        <w:rPr>
          <w:rFonts w:hint="eastAsia" w:cs="宋体"/>
          <w:sz w:val="24"/>
          <w:szCs w:val="24"/>
        </w:rPr>
        <w:t>1．质保（服务)期：</w:t>
      </w:r>
      <w:r>
        <w:rPr>
          <w:rFonts w:hint="eastAsia" w:cs="Helvetica"/>
          <w:i/>
          <w:iCs/>
          <w:sz w:val="24"/>
          <w:szCs w:val="24"/>
          <w:u w:val="single"/>
        </w:rPr>
        <w:t xml:space="preserve">            </w:t>
      </w:r>
      <w:r>
        <w:rPr>
          <w:rFonts w:hint="eastAsia" w:cs="Helvetica"/>
          <w:bCs/>
          <w:i/>
          <w:iCs/>
          <w:sz w:val="24"/>
          <w:szCs w:val="24"/>
          <w:u w:val="single"/>
        </w:rPr>
        <w:t>(见磋商文件)</w:t>
      </w:r>
      <w:r>
        <w:rPr>
          <w:rFonts w:hint="eastAsia" w:cs="Helvetica"/>
          <w:i/>
          <w:iCs/>
          <w:sz w:val="24"/>
          <w:szCs w:val="24"/>
          <w:u w:val="single"/>
        </w:rPr>
        <w:t xml:space="preserve">             </w:t>
      </w:r>
      <w:r>
        <w:rPr>
          <w:rFonts w:hint="eastAsia" w:cs="Helvetica"/>
          <w:i/>
          <w:sz w:val="24"/>
          <w:szCs w:val="24"/>
          <w:u w:val="single"/>
        </w:rPr>
        <w:t xml:space="preserve">   </w:t>
      </w:r>
      <w:r>
        <w:rPr>
          <w:rFonts w:hint="eastAsia" w:cs="Helvetica"/>
          <w:i/>
          <w:sz w:val="24"/>
          <w:szCs w:val="24"/>
        </w:rPr>
        <w:t>；</w:t>
      </w:r>
    </w:p>
    <w:p w14:paraId="482308A2">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宋体"/>
          <w:sz w:val="24"/>
          <w:szCs w:val="24"/>
        </w:rPr>
      </w:pPr>
      <w:r>
        <w:rPr>
          <w:rFonts w:hint="eastAsia" w:cs="宋体"/>
          <w:sz w:val="24"/>
          <w:szCs w:val="24"/>
        </w:rPr>
        <w:t>2．质保（服务）范围：</w:t>
      </w:r>
      <w:r>
        <w:rPr>
          <w:rFonts w:hint="eastAsia" w:cs="Helvetica"/>
          <w:i/>
          <w:iCs/>
          <w:sz w:val="24"/>
          <w:szCs w:val="24"/>
          <w:u w:val="single"/>
        </w:rPr>
        <w:t xml:space="preserve">          </w:t>
      </w:r>
      <w:r>
        <w:rPr>
          <w:rFonts w:hint="eastAsia" w:cs="Helvetica"/>
          <w:bCs/>
          <w:i/>
          <w:iCs/>
          <w:sz w:val="24"/>
          <w:szCs w:val="24"/>
          <w:u w:val="single"/>
        </w:rPr>
        <w:t>(见磋商文件)</w:t>
      </w:r>
      <w:r>
        <w:rPr>
          <w:rFonts w:hint="eastAsia" w:cs="Helvetica"/>
          <w:i/>
          <w:iCs/>
          <w:sz w:val="24"/>
          <w:szCs w:val="24"/>
          <w:u w:val="single"/>
        </w:rPr>
        <w:t xml:space="preserve">               </w:t>
      </w:r>
      <w:r>
        <w:rPr>
          <w:rFonts w:hint="eastAsia" w:cs="Helvetica"/>
          <w:i/>
          <w:sz w:val="24"/>
          <w:szCs w:val="24"/>
          <w:lang w:val="zh-CN"/>
        </w:rPr>
        <w:t>；</w:t>
      </w:r>
    </w:p>
    <w:p w14:paraId="51A02588">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宋体"/>
          <w:sz w:val="24"/>
          <w:szCs w:val="24"/>
        </w:rPr>
      </w:pPr>
      <w:r>
        <w:rPr>
          <w:rFonts w:hint="eastAsia" w:cs="宋体"/>
          <w:sz w:val="24"/>
          <w:szCs w:val="24"/>
        </w:rPr>
        <w:t>3．质保（服务）要求：</w:t>
      </w:r>
      <w:r>
        <w:rPr>
          <w:rFonts w:hint="eastAsia" w:cs="Helvetica"/>
          <w:i/>
          <w:iCs/>
          <w:sz w:val="24"/>
          <w:szCs w:val="24"/>
          <w:u w:val="single"/>
        </w:rPr>
        <w:t xml:space="preserve">          </w:t>
      </w:r>
      <w:r>
        <w:rPr>
          <w:rFonts w:hint="eastAsia" w:cs="Helvetica"/>
          <w:bCs/>
          <w:i/>
          <w:iCs/>
          <w:sz w:val="24"/>
          <w:szCs w:val="24"/>
          <w:u w:val="single"/>
        </w:rPr>
        <w:t>(见磋商文件)</w:t>
      </w:r>
      <w:r>
        <w:rPr>
          <w:rFonts w:hint="eastAsia" w:cs="Helvetica"/>
          <w:i/>
          <w:iCs/>
          <w:sz w:val="24"/>
          <w:szCs w:val="24"/>
          <w:u w:val="single"/>
        </w:rPr>
        <w:t xml:space="preserve">             </w:t>
      </w:r>
      <w:r>
        <w:rPr>
          <w:rFonts w:hint="eastAsia" w:cs="Helvetica"/>
          <w:i/>
          <w:sz w:val="24"/>
          <w:szCs w:val="24"/>
          <w:lang w:val="zh-CN"/>
        </w:rPr>
        <w:t>。</w:t>
      </w:r>
    </w:p>
    <w:p w14:paraId="2FE86B91">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sz w:val="24"/>
          <w:szCs w:val="24"/>
          <w:lang w:val="zh-CN"/>
        </w:rPr>
      </w:pPr>
      <w:r>
        <w:rPr>
          <w:rFonts w:hint="eastAsia" w:cs="Helvetica"/>
          <w:b/>
          <w:bCs/>
          <w:sz w:val="24"/>
          <w:szCs w:val="24"/>
          <w:lang w:val="zh-CN"/>
        </w:rPr>
        <w:t>项目培训</w:t>
      </w:r>
    </w:p>
    <w:p w14:paraId="40FC89D1">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720" w:firstLineChars="300"/>
        <w:contextualSpacing/>
        <w:textAlignment w:val="auto"/>
        <w:rPr>
          <w:rFonts w:cs="Helvetica"/>
          <w:bCs/>
          <w:sz w:val="24"/>
          <w:szCs w:val="24"/>
        </w:rPr>
      </w:pPr>
      <w:r>
        <w:rPr>
          <w:rFonts w:hint="eastAsia" w:cs="Helvetica"/>
          <w:bCs/>
          <w:sz w:val="24"/>
          <w:szCs w:val="24"/>
          <w:u w:val="single"/>
        </w:rPr>
        <w:t xml:space="preserve">                </w:t>
      </w:r>
      <w:r>
        <w:rPr>
          <w:rFonts w:cs="Helvetica"/>
          <w:bCs/>
          <w:sz w:val="24"/>
          <w:szCs w:val="24"/>
          <w:u w:val="single"/>
        </w:rPr>
        <w:t xml:space="preserve">     </w:t>
      </w:r>
      <w:r>
        <w:rPr>
          <w:rFonts w:hint="eastAsia" w:cs="Helvetica"/>
          <w:bCs/>
          <w:i/>
          <w:iCs/>
          <w:sz w:val="24"/>
          <w:szCs w:val="24"/>
          <w:u w:val="single"/>
        </w:rPr>
        <w:t>(见磋商文件)</w:t>
      </w:r>
      <w:r>
        <w:rPr>
          <w:rFonts w:hint="eastAsia" w:cs="Helvetica"/>
          <w:bCs/>
          <w:sz w:val="24"/>
          <w:szCs w:val="24"/>
          <w:u w:val="single"/>
        </w:rPr>
        <w:t xml:space="preserve">                      </w:t>
      </w:r>
      <w:r>
        <w:rPr>
          <w:rFonts w:hint="eastAsia" w:cs="Helvetica"/>
          <w:bCs/>
          <w:sz w:val="24"/>
          <w:szCs w:val="24"/>
        </w:rPr>
        <w:t>。</w:t>
      </w:r>
    </w:p>
    <w:p w14:paraId="7F4C8ED9">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i/>
          <w:iCs/>
          <w:sz w:val="24"/>
          <w:szCs w:val="24"/>
          <w:lang w:val="zh-CN"/>
        </w:rPr>
      </w:pPr>
      <w:r>
        <w:rPr>
          <w:rFonts w:hint="eastAsia" w:cs="Helvetica"/>
          <w:b/>
          <w:sz w:val="24"/>
          <w:szCs w:val="24"/>
          <w:lang w:val="zh-CN"/>
        </w:rPr>
        <w:t>知识产权归属、处理方式</w:t>
      </w:r>
    </w:p>
    <w:p w14:paraId="4A11B5E5">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720" w:firstLineChars="300"/>
        <w:contextualSpacing/>
        <w:textAlignment w:val="auto"/>
        <w:rPr>
          <w:rFonts w:cs="Helvetica"/>
          <w:bCs/>
          <w:i/>
          <w:iCs/>
          <w:sz w:val="24"/>
          <w:szCs w:val="24"/>
        </w:rPr>
      </w:pPr>
      <w:r>
        <w:rPr>
          <w:rFonts w:hint="eastAsia" w:cs="Helvetica"/>
          <w:bCs/>
          <w:i/>
          <w:iCs/>
          <w:sz w:val="24"/>
          <w:szCs w:val="24"/>
          <w:u w:val="single"/>
        </w:rPr>
        <w:t xml:space="preserve">                    (见磋商文件)                          </w:t>
      </w:r>
      <w:r>
        <w:rPr>
          <w:rFonts w:hint="eastAsia" w:cs="Helvetica"/>
          <w:bCs/>
          <w:i/>
          <w:iCs/>
          <w:sz w:val="24"/>
          <w:szCs w:val="24"/>
        </w:rPr>
        <w:t>。</w:t>
      </w:r>
    </w:p>
    <w:p w14:paraId="3278C79C">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sz w:val="24"/>
          <w:szCs w:val="24"/>
          <w:lang w:val="zh-CN"/>
        </w:rPr>
      </w:pPr>
      <w:r>
        <w:rPr>
          <w:rFonts w:hint="eastAsia" w:cs="Helvetica"/>
          <w:b/>
          <w:sz w:val="24"/>
          <w:szCs w:val="24"/>
          <w:lang w:val="zh-CN"/>
        </w:rPr>
        <w:t>双方的权利和义务</w:t>
      </w:r>
    </w:p>
    <w:p w14:paraId="61E9A9AD">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Helvetica"/>
          <w:bCs/>
          <w:sz w:val="24"/>
          <w:szCs w:val="24"/>
          <w:u w:val="single"/>
        </w:rPr>
      </w:pPr>
      <w:r>
        <w:rPr>
          <w:rFonts w:hint="eastAsia" w:cs="宋体"/>
          <w:sz w:val="24"/>
          <w:szCs w:val="24"/>
        </w:rPr>
        <w:t>1．</w:t>
      </w:r>
      <w:r>
        <w:rPr>
          <w:rFonts w:hint="eastAsia" w:cs="Helvetica"/>
          <w:bCs/>
          <w:sz w:val="24"/>
          <w:szCs w:val="24"/>
        </w:rPr>
        <w:t>甲方的</w:t>
      </w:r>
      <w:r>
        <w:rPr>
          <w:rFonts w:hint="eastAsia" w:cs="宋体"/>
          <w:sz w:val="24"/>
          <w:szCs w:val="24"/>
        </w:rPr>
        <w:t>权力</w:t>
      </w:r>
      <w:r>
        <w:rPr>
          <w:rFonts w:hint="eastAsia" w:cs="Helvetica"/>
          <w:bCs/>
          <w:sz w:val="24"/>
          <w:szCs w:val="24"/>
        </w:rPr>
        <w:t>和义务：</w:t>
      </w:r>
      <w:r>
        <w:rPr>
          <w:rFonts w:hint="eastAsia" w:cs="Helvetica"/>
          <w:bCs/>
          <w:i/>
          <w:iCs/>
          <w:sz w:val="24"/>
          <w:szCs w:val="24"/>
          <w:u w:val="single"/>
        </w:rPr>
        <w:t xml:space="preserve">                                       </w:t>
      </w:r>
      <w:r>
        <w:rPr>
          <w:rFonts w:hint="eastAsia" w:cs="Helvetica"/>
          <w:bCs/>
          <w:sz w:val="24"/>
          <w:szCs w:val="24"/>
        </w:rPr>
        <w:t>；</w:t>
      </w:r>
    </w:p>
    <w:p w14:paraId="79B89CB3">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Helvetica"/>
          <w:bCs/>
          <w:sz w:val="24"/>
          <w:szCs w:val="24"/>
        </w:rPr>
      </w:pPr>
      <w:r>
        <w:rPr>
          <w:rFonts w:hint="eastAsia" w:cs="宋体"/>
          <w:sz w:val="24"/>
          <w:szCs w:val="24"/>
        </w:rPr>
        <w:t>2．</w:t>
      </w:r>
      <w:r>
        <w:rPr>
          <w:rFonts w:hint="eastAsia" w:cs="Helvetica"/>
          <w:bCs/>
          <w:sz w:val="24"/>
          <w:szCs w:val="24"/>
        </w:rPr>
        <w:t>乙方的</w:t>
      </w:r>
      <w:r>
        <w:rPr>
          <w:rFonts w:hint="eastAsia" w:cs="宋体"/>
          <w:sz w:val="24"/>
          <w:szCs w:val="24"/>
        </w:rPr>
        <w:t>权力</w:t>
      </w:r>
      <w:r>
        <w:rPr>
          <w:rFonts w:hint="eastAsia" w:cs="Helvetica"/>
          <w:bCs/>
          <w:sz w:val="24"/>
          <w:szCs w:val="24"/>
        </w:rPr>
        <w:t>和义务：</w:t>
      </w:r>
      <w:r>
        <w:rPr>
          <w:rFonts w:hint="eastAsia" w:cs="Helvetica"/>
          <w:bCs/>
          <w:i/>
          <w:iCs/>
          <w:sz w:val="24"/>
          <w:szCs w:val="24"/>
          <w:u w:val="single"/>
        </w:rPr>
        <w:t xml:space="preserve">                                       </w:t>
      </w:r>
      <w:r>
        <w:rPr>
          <w:rFonts w:hint="eastAsia" w:cs="Helvetica"/>
          <w:bCs/>
          <w:sz w:val="24"/>
          <w:szCs w:val="24"/>
        </w:rPr>
        <w:t>。</w:t>
      </w:r>
    </w:p>
    <w:p w14:paraId="17B10EB1">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sz w:val="24"/>
          <w:szCs w:val="24"/>
          <w:lang w:val="zh-CN"/>
        </w:rPr>
      </w:pPr>
      <w:r>
        <w:rPr>
          <w:rFonts w:hint="eastAsia" w:cs="Helvetica"/>
          <w:b/>
          <w:sz w:val="24"/>
          <w:szCs w:val="24"/>
          <w:lang w:val="zh-CN"/>
        </w:rPr>
        <w:t>违约责任</w:t>
      </w:r>
    </w:p>
    <w:p w14:paraId="1E8B57AA">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宋体"/>
          <w:sz w:val="24"/>
          <w:szCs w:val="24"/>
        </w:rPr>
      </w:pPr>
      <w:r>
        <w:rPr>
          <w:rFonts w:hint="eastAsia" w:cs="宋体"/>
          <w:sz w:val="24"/>
          <w:szCs w:val="24"/>
        </w:rPr>
        <w:t>1．</w:t>
      </w:r>
      <w:r>
        <w:rPr>
          <w:rFonts w:hint="eastAsia" w:cs="宋体"/>
          <w:sz w:val="24"/>
          <w:szCs w:val="24"/>
          <w:lang w:val="zh-CN"/>
        </w:rPr>
        <w:t>甲方的违约责任</w:t>
      </w:r>
      <w:r>
        <w:rPr>
          <w:rFonts w:hint="eastAsia" w:cs="宋体"/>
          <w:sz w:val="24"/>
          <w:szCs w:val="24"/>
        </w:rPr>
        <w:t>：</w:t>
      </w:r>
      <w:r>
        <w:rPr>
          <w:rFonts w:hint="eastAsia" w:cs="宋体"/>
          <w:sz w:val="24"/>
          <w:szCs w:val="24"/>
          <w:u w:val="single"/>
        </w:rPr>
        <w:t xml:space="preserve">                                      </w:t>
      </w:r>
      <w:r>
        <w:rPr>
          <w:rFonts w:hint="eastAsia" w:cs="宋体"/>
          <w:sz w:val="24"/>
          <w:szCs w:val="24"/>
        </w:rPr>
        <w:t>；</w:t>
      </w:r>
    </w:p>
    <w:p w14:paraId="7FB0A89F">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rFonts w:cs="宋体"/>
          <w:sz w:val="24"/>
          <w:szCs w:val="24"/>
        </w:rPr>
      </w:pPr>
      <w:r>
        <w:rPr>
          <w:rFonts w:hint="eastAsia" w:cs="宋体"/>
          <w:sz w:val="24"/>
          <w:szCs w:val="24"/>
        </w:rPr>
        <w:t>2．乙方的违约责任：</w:t>
      </w:r>
      <w:r>
        <w:rPr>
          <w:rFonts w:hint="eastAsia" w:cs="宋体"/>
          <w:sz w:val="24"/>
          <w:szCs w:val="24"/>
          <w:u w:val="single"/>
        </w:rPr>
        <w:t xml:space="preserve">     </w:t>
      </w:r>
      <w:r>
        <w:rPr>
          <w:rFonts w:cs="宋体"/>
          <w:sz w:val="24"/>
          <w:szCs w:val="24"/>
          <w:u w:val="single"/>
        </w:rPr>
        <w:t xml:space="preserve"> </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w:t>
      </w:r>
    </w:p>
    <w:p w14:paraId="5C74C073">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Cs/>
          <w:i/>
          <w:iCs/>
          <w:sz w:val="24"/>
          <w:szCs w:val="24"/>
          <w:u w:val="single"/>
          <w:lang w:val="zh-CN"/>
        </w:rPr>
      </w:pPr>
      <w:r>
        <w:rPr>
          <w:rFonts w:hint="eastAsia" w:cs="Helvetica"/>
          <w:b/>
          <w:sz w:val="24"/>
          <w:szCs w:val="24"/>
          <w:lang w:val="zh-CN"/>
        </w:rPr>
        <w:t>保密条款</w:t>
      </w:r>
    </w:p>
    <w:p w14:paraId="7D9F30A7">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720" w:firstLineChars="300"/>
        <w:contextualSpacing/>
        <w:textAlignment w:val="auto"/>
        <w:rPr>
          <w:rFonts w:cs="Helvetica"/>
          <w:bCs/>
          <w:sz w:val="24"/>
          <w:szCs w:val="24"/>
        </w:rPr>
      </w:pPr>
      <w:r>
        <w:rPr>
          <w:rFonts w:hint="eastAsia" w:cs="Helvetica"/>
          <w:bCs/>
          <w:i/>
          <w:iCs/>
          <w:sz w:val="24"/>
          <w:szCs w:val="24"/>
          <w:u w:val="single"/>
        </w:rPr>
        <w:t xml:space="preserve">                    </w:t>
      </w:r>
      <w:r>
        <w:rPr>
          <w:rFonts w:cs="Helvetica"/>
          <w:bCs/>
          <w:i/>
          <w:iCs/>
          <w:sz w:val="24"/>
          <w:szCs w:val="24"/>
          <w:u w:val="single"/>
        </w:rPr>
        <w:t xml:space="preserve"> </w:t>
      </w:r>
      <w:r>
        <w:rPr>
          <w:rFonts w:hint="eastAsia" w:cs="Helvetica"/>
          <w:bCs/>
          <w:i/>
          <w:iCs/>
          <w:sz w:val="24"/>
          <w:szCs w:val="24"/>
          <w:u w:val="single"/>
        </w:rPr>
        <w:t xml:space="preserve">        </w:t>
      </w:r>
      <w:r>
        <w:rPr>
          <w:rFonts w:hint="eastAsia" w:cs="Helvetica"/>
          <w:bCs/>
          <w:i/>
          <w:iCs/>
          <w:sz w:val="24"/>
          <w:szCs w:val="24"/>
          <w:u w:val="single"/>
          <w:lang w:val="en-US" w:eastAsia="zh-CN"/>
        </w:rPr>
        <w:t xml:space="preserve">              </w:t>
      </w:r>
      <w:r>
        <w:rPr>
          <w:rFonts w:hint="eastAsia" w:cs="Helvetica"/>
          <w:bCs/>
          <w:i/>
          <w:iCs/>
          <w:sz w:val="24"/>
          <w:szCs w:val="24"/>
          <w:u w:val="single"/>
        </w:rPr>
        <w:t xml:space="preserve">            </w:t>
      </w:r>
      <w:r>
        <w:rPr>
          <w:rFonts w:hint="eastAsia" w:cs="Helvetica"/>
          <w:bCs/>
          <w:sz w:val="24"/>
          <w:szCs w:val="24"/>
        </w:rPr>
        <w:t>。</w:t>
      </w:r>
    </w:p>
    <w:p w14:paraId="2272F23C">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sz w:val="24"/>
          <w:szCs w:val="24"/>
          <w:lang w:val="zh-CN"/>
        </w:rPr>
      </w:pPr>
      <w:r>
        <w:rPr>
          <w:rFonts w:hint="eastAsia" w:cs="Helvetica"/>
          <w:b/>
          <w:sz w:val="24"/>
          <w:szCs w:val="24"/>
          <w:lang w:val="zh-CN"/>
        </w:rPr>
        <w:t>其它补充条款</w:t>
      </w:r>
    </w:p>
    <w:p w14:paraId="62F3C847">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720" w:firstLineChars="300"/>
        <w:contextualSpacing/>
        <w:textAlignment w:val="auto"/>
        <w:rPr>
          <w:rFonts w:cs="Helvetica"/>
          <w:bCs/>
          <w:sz w:val="24"/>
          <w:szCs w:val="24"/>
        </w:rPr>
      </w:pPr>
      <w:r>
        <w:rPr>
          <w:rFonts w:hint="eastAsia" w:cs="Helvetica"/>
          <w:bCs/>
          <w:sz w:val="24"/>
          <w:szCs w:val="24"/>
          <w:u w:val="single"/>
        </w:rPr>
        <w:t xml:space="preserve">                                                        </w:t>
      </w:r>
      <w:r>
        <w:rPr>
          <w:rFonts w:hint="eastAsia" w:cs="Helvetica"/>
          <w:bCs/>
          <w:sz w:val="24"/>
          <w:szCs w:val="24"/>
        </w:rPr>
        <w:t>。</w:t>
      </w:r>
    </w:p>
    <w:p w14:paraId="335C7516">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bCs/>
          <w:sz w:val="24"/>
          <w:szCs w:val="24"/>
          <w:lang w:val="zh-CN"/>
        </w:rPr>
      </w:pPr>
      <w:r>
        <w:rPr>
          <w:rFonts w:hint="eastAsia" w:cs="Helvetica"/>
          <w:bCs/>
          <w:i/>
          <w:iCs/>
          <w:sz w:val="24"/>
          <w:szCs w:val="24"/>
        </w:rPr>
        <w:t xml:space="preserve"> </w:t>
      </w:r>
      <w:r>
        <w:rPr>
          <w:rFonts w:hint="eastAsia" w:cs="Helvetica"/>
          <w:b/>
          <w:bCs/>
          <w:sz w:val="24"/>
          <w:szCs w:val="24"/>
          <w:lang w:val="zh-CN"/>
        </w:rPr>
        <w:t>不可抗力</w:t>
      </w:r>
    </w:p>
    <w:p w14:paraId="7822BD1F">
      <w:pPr>
        <w:keepNext w:val="0"/>
        <w:keepLines w:val="0"/>
        <w:pageBreakBefore w:val="0"/>
        <w:widowControl w:val="0"/>
        <w:kinsoku/>
        <w:wordWrap w:val="0"/>
        <w:overflowPunct/>
        <w:topLinePunct w:val="0"/>
        <w:bidi w:val="0"/>
        <w:spacing w:before="78" w:beforeLines="25" w:line="360" w:lineRule="auto"/>
        <w:ind w:firstLine="480" w:firstLineChars="200"/>
        <w:textAlignment w:val="auto"/>
        <w:rPr>
          <w:rFonts w:cs="Helvetica"/>
          <w:b/>
          <w:sz w:val="24"/>
          <w:szCs w:val="24"/>
          <w:lang w:val="zh-CN"/>
        </w:rPr>
      </w:pPr>
      <w:r>
        <w:rPr>
          <w:rFonts w:hint="eastAsia"/>
          <w:sz w:val="24"/>
          <w:szCs w:val="24"/>
        </w:rPr>
        <w:t>任何一方由于不可抗力原因不能履行合同时，应在不可抗力事件结束后</w:t>
      </w:r>
      <w:r>
        <w:rPr>
          <w:rFonts w:hint="eastAsia"/>
          <w:sz w:val="24"/>
          <w:szCs w:val="24"/>
          <w:u w:val="single"/>
        </w:rPr>
        <w:t xml:space="preserve">     </w:t>
      </w:r>
      <w:r>
        <w:rPr>
          <w:rFonts w:hint="eastAsia"/>
          <w:sz w:val="24"/>
          <w:szCs w:val="24"/>
        </w:rPr>
        <w:t>日内以书面形式通知对方，以减轻可能给对方造成的损失，在取得有关机构的不可抗力证明或双方谅解确认后，允许延期履行或修订合同，并根据情况可部分或全部免于承担违约责任。</w:t>
      </w:r>
    </w:p>
    <w:p w14:paraId="2B4B7488">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sz w:val="24"/>
          <w:szCs w:val="24"/>
          <w:lang w:val="zh-CN"/>
        </w:rPr>
      </w:pPr>
      <w:r>
        <w:rPr>
          <w:rFonts w:hint="eastAsia" w:cs="Helvetica"/>
          <w:b/>
          <w:sz w:val="24"/>
          <w:szCs w:val="24"/>
          <w:lang w:val="zh-CN"/>
        </w:rPr>
        <w:t>解决争议的方法</w:t>
      </w:r>
    </w:p>
    <w:p w14:paraId="2826652B">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firstLine="480" w:firstLineChars="200"/>
        <w:contextualSpacing/>
        <w:textAlignment w:val="auto"/>
        <w:rPr>
          <w:sz w:val="24"/>
          <w:szCs w:val="24"/>
        </w:rPr>
      </w:pPr>
      <w:r>
        <w:rPr>
          <w:rFonts w:hint="eastAsia"/>
          <w:sz w:val="24"/>
          <w:szCs w:val="24"/>
        </w:rPr>
        <w:t>一切由执行合同引起的或与本合同有关的争执，双方应通过友好协商解决，如协商不能解决应提交甲方所在地有管辖权的人民法院诉讼解决。</w:t>
      </w:r>
    </w:p>
    <w:p w14:paraId="52A2609D">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rFonts w:cs="Helvetica"/>
          <w:b/>
          <w:sz w:val="24"/>
          <w:szCs w:val="24"/>
          <w:lang w:val="zh-CN"/>
        </w:rPr>
      </w:pPr>
      <w:r>
        <w:rPr>
          <w:rFonts w:hint="eastAsia" w:cs="Helvetica"/>
          <w:b/>
          <w:sz w:val="24"/>
          <w:szCs w:val="24"/>
          <w:lang w:val="zh-CN"/>
        </w:rPr>
        <w:t>合同组成</w:t>
      </w:r>
    </w:p>
    <w:p w14:paraId="55AD44B5">
      <w:pPr>
        <w:keepNext w:val="0"/>
        <w:keepLines w:val="0"/>
        <w:pageBreakBefore w:val="0"/>
        <w:widowControl w:val="0"/>
        <w:kinsoku/>
        <w:wordWrap w:val="0"/>
        <w:overflowPunct/>
        <w:topLinePunct w:val="0"/>
        <w:bidi w:val="0"/>
        <w:spacing w:before="78" w:beforeLines="25" w:line="360" w:lineRule="auto"/>
        <w:ind w:firstLine="960" w:firstLineChars="400"/>
        <w:textAlignment w:val="auto"/>
        <w:rPr>
          <w:rFonts w:cs="Helvetica"/>
          <w:sz w:val="24"/>
          <w:szCs w:val="24"/>
          <w:lang w:val="zh-CN"/>
        </w:rPr>
      </w:pPr>
      <w:r>
        <w:rPr>
          <w:rFonts w:hint="eastAsia"/>
          <w:sz w:val="24"/>
          <w:szCs w:val="24"/>
        </w:rPr>
        <w:t>下列文件为本合同不可分割的部分：</w:t>
      </w:r>
    </w:p>
    <w:p w14:paraId="4D59FC78">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lang w:val="zh-CN"/>
        </w:rPr>
      </w:pPr>
      <w:r>
        <w:rPr>
          <w:rFonts w:hint="eastAsia"/>
          <w:sz w:val="24"/>
          <w:szCs w:val="24"/>
        </w:rPr>
        <w:t>1．</w:t>
      </w:r>
      <w:r>
        <w:rPr>
          <w:rFonts w:hint="eastAsia"/>
          <w:sz w:val="24"/>
          <w:szCs w:val="24"/>
          <w:lang w:val="zh-CN"/>
        </w:rPr>
        <w:t>合同书；</w:t>
      </w:r>
    </w:p>
    <w:p w14:paraId="43AA87B9">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2．</w:t>
      </w:r>
      <w:r>
        <w:rPr>
          <w:rFonts w:hint="eastAsia"/>
          <w:sz w:val="24"/>
          <w:szCs w:val="24"/>
          <w:lang w:val="zh-CN"/>
        </w:rPr>
        <w:t>代理机构发出的成交通知书；</w:t>
      </w:r>
      <w:r>
        <w:rPr>
          <w:sz w:val="24"/>
          <w:szCs w:val="24"/>
        </w:rPr>
        <w:t xml:space="preserve"> </w:t>
      </w:r>
    </w:p>
    <w:p w14:paraId="0DA40EDD">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lang w:val="zh-CN"/>
        </w:rPr>
      </w:pPr>
      <w:r>
        <w:rPr>
          <w:rFonts w:hint="eastAsia"/>
          <w:sz w:val="24"/>
          <w:szCs w:val="24"/>
        </w:rPr>
        <w:t>3．</w:t>
      </w:r>
      <w:r>
        <w:rPr>
          <w:rFonts w:hint="eastAsia"/>
          <w:sz w:val="24"/>
          <w:szCs w:val="24"/>
          <w:lang w:val="zh-CN"/>
        </w:rPr>
        <w:t>经双方确认并共同签字的补充文件、技术协议等；</w:t>
      </w:r>
    </w:p>
    <w:p w14:paraId="3DBD9940">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lang w:val="zh-CN"/>
        </w:rPr>
      </w:pPr>
      <w:r>
        <w:rPr>
          <w:rFonts w:hint="eastAsia"/>
          <w:sz w:val="24"/>
          <w:szCs w:val="24"/>
        </w:rPr>
        <w:t>4．</w:t>
      </w:r>
      <w:r>
        <w:rPr>
          <w:rFonts w:hint="eastAsia"/>
          <w:sz w:val="24"/>
          <w:szCs w:val="24"/>
          <w:lang w:val="zh-CN"/>
        </w:rPr>
        <w:t>乙方的响应文件（含附件、补充文件、图纸等）；</w:t>
      </w:r>
    </w:p>
    <w:p w14:paraId="0FFD35F4">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lang w:val="zh-CN"/>
        </w:rPr>
      </w:pPr>
      <w:r>
        <w:rPr>
          <w:rFonts w:hint="eastAsia"/>
          <w:sz w:val="24"/>
          <w:szCs w:val="24"/>
        </w:rPr>
        <w:t>5．</w:t>
      </w:r>
      <w:r>
        <w:rPr>
          <w:rFonts w:hint="eastAsia"/>
          <w:sz w:val="24"/>
          <w:szCs w:val="24"/>
          <w:lang w:val="zh-CN"/>
        </w:rPr>
        <w:t>采购文件（含附件、补充文件、图纸等</w:t>
      </w:r>
      <w:r>
        <w:rPr>
          <w:rFonts w:hint="eastAsia"/>
          <w:sz w:val="24"/>
          <w:szCs w:val="24"/>
        </w:rPr>
        <w:t>）。</w:t>
      </w:r>
    </w:p>
    <w:p w14:paraId="5712687D">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b/>
          <w:sz w:val="24"/>
          <w:szCs w:val="24"/>
        </w:rPr>
      </w:pPr>
      <w:r>
        <w:rPr>
          <w:rFonts w:hint="eastAsia" w:cs="Helvetica"/>
          <w:b/>
          <w:sz w:val="24"/>
          <w:szCs w:val="24"/>
          <w:lang w:val="zh-CN"/>
        </w:rPr>
        <w:t>合同生效与终止</w:t>
      </w:r>
    </w:p>
    <w:p w14:paraId="270E2791">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1．本合同经甲乙双方授权代表签字和加盖公章（或合同专用章）后生效。如竞争性磋商申请公证的，合同需经公证机构公证后生效；</w:t>
      </w:r>
    </w:p>
    <w:p w14:paraId="302A7CCE">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firstLine="960" w:firstLineChars="400"/>
        <w:contextualSpacing/>
        <w:textAlignment w:val="auto"/>
        <w:rPr>
          <w:sz w:val="24"/>
          <w:szCs w:val="24"/>
        </w:rPr>
      </w:pPr>
      <w:r>
        <w:rPr>
          <w:rFonts w:hint="eastAsia"/>
          <w:sz w:val="24"/>
          <w:szCs w:val="24"/>
        </w:rPr>
        <w:t>2．双方履行完各自权利和义务后合同自行终止；</w:t>
      </w:r>
    </w:p>
    <w:p w14:paraId="17391058">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firstLine="960" w:firstLineChars="400"/>
        <w:contextualSpacing/>
        <w:textAlignment w:val="auto"/>
        <w:rPr>
          <w:sz w:val="24"/>
          <w:szCs w:val="24"/>
        </w:rPr>
      </w:pPr>
      <w:r>
        <w:rPr>
          <w:rFonts w:hint="eastAsia"/>
          <w:sz w:val="24"/>
          <w:szCs w:val="24"/>
        </w:rPr>
        <w:t>3．本合同规定可以终止合同的情形。</w:t>
      </w:r>
    </w:p>
    <w:p w14:paraId="7CCB48B8">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b/>
          <w:bCs/>
          <w:sz w:val="24"/>
          <w:szCs w:val="24"/>
        </w:rPr>
      </w:pPr>
      <w:r>
        <w:rPr>
          <w:rFonts w:hint="eastAsia"/>
          <w:b/>
          <w:bCs/>
          <w:sz w:val="24"/>
          <w:szCs w:val="24"/>
        </w:rPr>
        <w:t>通知与送达</w:t>
      </w:r>
    </w:p>
    <w:p w14:paraId="21E557A0">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1．就本合同有关事项，双方应通过本合同约定的联系方式向对方发送相关通知，本合同约定的送达地址同时作为有效司法送达地址；</w:t>
      </w:r>
    </w:p>
    <w:p w14:paraId="41A5905B">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2．一方变更通知或通讯地址，应自变更之日起</w:t>
      </w:r>
      <w:r>
        <w:rPr>
          <w:rFonts w:hint="eastAsia"/>
          <w:sz w:val="24"/>
          <w:szCs w:val="24"/>
          <w:u w:val="single"/>
        </w:rPr>
        <w:t xml:space="preserve">    </w:t>
      </w:r>
      <w:r>
        <w:rPr>
          <w:rFonts w:hint="eastAsia"/>
          <w:sz w:val="24"/>
          <w:szCs w:val="24"/>
        </w:rPr>
        <w:t>日内，以书面形式通知对方，否则，由未通知方承担由此而引起的相关责任。</w:t>
      </w:r>
    </w:p>
    <w:p w14:paraId="04BC8DB2">
      <w:pPr>
        <w:pStyle w:val="32"/>
        <w:keepNext w:val="0"/>
        <w:keepLines w:val="0"/>
        <w:pageBreakBefore w:val="0"/>
        <w:widowControl w:val="0"/>
        <w:numPr>
          <w:ilvl w:val="0"/>
          <w:numId w:val="7"/>
        </w:numPr>
        <w:kinsoku/>
        <w:wordWrap w:val="0"/>
        <w:overflowPunct/>
        <w:topLinePunct w:val="0"/>
        <w:bidi w:val="0"/>
        <w:spacing w:before="78" w:beforeLines="25" w:line="360" w:lineRule="auto"/>
        <w:ind w:firstLineChars="0"/>
        <w:jc w:val="both"/>
        <w:textAlignment w:val="auto"/>
        <w:rPr>
          <w:b/>
          <w:bCs/>
          <w:sz w:val="24"/>
          <w:szCs w:val="24"/>
        </w:rPr>
      </w:pPr>
      <w:r>
        <w:rPr>
          <w:rFonts w:hint="eastAsia"/>
          <w:b/>
          <w:bCs/>
          <w:sz w:val="24"/>
          <w:szCs w:val="24"/>
        </w:rPr>
        <w:t>其它</w:t>
      </w:r>
    </w:p>
    <w:p w14:paraId="7196D280">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r>
        <w:rPr>
          <w:rFonts w:hint="eastAsia"/>
          <w:sz w:val="24"/>
          <w:szCs w:val="24"/>
        </w:rPr>
        <w:t>本合同正本一式</w:t>
      </w:r>
      <w:r>
        <w:rPr>
          <w:rFonts w:hint="eastAsia"/>
          <w:sz w:val="24"/>
          <w:szCs w:val="24"/>
          <w:u w:val="single"/>
        </w:rPr>
        <w:t xml:space="preserve">    </w:t>
      </w:r>
      <w:r>
        <w:rPr>
          <w:rFonts w:hint="eastAsia"/>
          <w:sz w:val="24"/>
          <w:szCs w:val="24"/>
        </w:rPr>
        <w:t>份，甲方执</w:t>
      </w:r>
      <w:r>
        <w:rPr>
          <w:rFonts w:hint="eastAsia"/>
          <w:sz w:val="24"/>
          <w:szCs w:val="24"/>
          <w:u w:val="single"/>
        </w:rPr>
        <w:t xml:space="preserve">  　</w:t>
      </w:r>
      <w:r>
        <w:rPr>
          <w:rFonts w:hint="eastAsia"/>
          <w:sz w:val="24"/>
          <w:szCs w:val="24"/>
        </w:rPr>
        <w:t>份，乙方执</w:t>
      </w:r>
      <w:r>
        <w:rPr>
          <w:rFonts w:hint="eastAsia"/>
          <w:sz w:val="24"/>
          <w:szCs w:val="24"/>
          <w:u w:val="single"/>
        </w:rPr>
        <w:t xml:space="preserve">  　</w:t>
      </w:r>
      <w:r>
        <w:rPr>
          <w:rFonts w:hint="eastAsia"/>
          <w:sz w:val="24"/>
          <w:szCs w:val="24"/>
        </w:rPr>
        <w:t>份；副本一式</w:t>
      </w:r>
      <w:r>
        <w:rPr>
          <w:rFonts w:hint="eastAsia"/>
          <w:sz w:val="24"/>
          <w:szCs w:val="24"/>
          <w:u w:val="single"/>
        </w:rPr>
        <w:t xml:space="preserve">  　</w:t>
      </w:r>
      <w:r>
        <w:rPr>
          <w:rFonts w:hint="eastAsia"/>
          <w:sz w:val="24"/>
          <w:szCs w:val="24"/>
        </w:rPr>
        <w:t>份，甲方执</w:t>
      </w:r>
      <w:r>
        <w:rPr>
          <w:rFonts w:hint="eastAsia"/>
          <w:sz w:val="24"/>
          <w:szCs w:val="24"/>
          <w:u w:val="single"/>
        </w:rPr>
        <w:t xml:space="preserve">  　</w:t>
      </w:r>
      <w:r>
        <w:rPr>
          <w:rFonts w:hint="eastAsia"/>
          <w:sz w:val="24"/>
          <w:szCs w:val="24"/>
        </w:rPr>
        <w:t>份，乙方执</w:t>
      </w:r>
      <w:r>
        <w:rPr>
          <w:rFonts w:hint="eastAsia"/>
          <w:sz w:val="24"/>
          <w:szCs w:val="24"/>
          <w:u w:val="single"/>
        </w:rPr>
        <w:t xml:space="preserve">  　</w:t>
      </w:r>
      <w:r>
        <w:rPr>
          <w:rFonts w:hint="eastAsia"/>
          <w:sz w:val="24"/>
          <w:szCs w:val="24"/>
        </w:rPr>
        <w:t>份。</w:t>
      </w:r>
    </w:p>
    <w:p w14:paraId="70601284">
      <w:pPr>
        <w:keepNext w:val="0"/>
        <w:keepLines w:val="0"/>
        <w:pageBreakBefore w:val="0"/>
        <w:widowControl w:val="0"/>
        <w:numPr>
          <w:ilvl w:val="255"/>
          <w:numId w:val="0"/>
        </w:numPr>
        <w:tabs>
          <w:tab w:val="left" w:pos="980"/>
        </w:tabs>
        <w:kinsoku/>
        <w:wordWrap w:val="0"/>
        <w:overflowPunct/>
        <w:topLinePunct w:val="0"/>
        <w:autoSpaceDE w:val="0"/>
        <w:autoSpaceDN w:val="0"/>
        <w:bidi w:val="0"/>
        <w:spacing w:before="78" w:beforeLines="25" w:line="360" w:lineRule="auto"/>
        <w:ind w:left="479" w:leftChars="228" w:firstLine="480" w:firstLineChars="200"/>
        <w:contextualSpacing/>
        <w:textAlignment w:val="auto"/>
        <w:rPr>
          <w:sz w:val="24"/>
          <w:szCs w:val="24"/>
        </w:rPr>
      </w:pPr>
    </w:p>
    <w:p w14:paraId="4CC8009C">
      <w:pPr>
        <w:keepNext w:val="0"/>
        <w:keepLines w:val="0"/>
        <w:pageBreakBefore w:val="0"/>
        <w:widowControl w:val="0"/>
        <w:kinsoku/>
        <w:wordWrap w:val="0"/>
        <w:overflowPunct/>
        <w:topLinePunct w:val="0"/>
        <w:bidi w:val="0"/>
        <w:spacing w:before="78" w:beforeLines="25" w:line="360" w:lineRule="auto"/>
        <w:ind w:firstLine="489" w:firstLineChars="204"/>
        <w:contextualSpacing/>
        <w:textAlignment w:val="auto"/>
        <w:rPr>
          <w:sz w:val="24"/>
          <w:szCs w:val="24"/>
        </w:rPr>
      </w:pPr>
      <w:r>
        <w:rPr>
          <w:rFonts w:hint="eastAsia"/>
          <w:sz w:val="24"/>
          <w:szCs w:val="24"/>
        </w:rPr>
        <w:t xml:space="preserve">    </w:t>
      </w:r>
    </w:p>
    <w:p w14:paraId="18047516">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甲　　方：</w:t>
      </w:r>
      <w:r>
        <w:rPr>
          <w:rFonts w:hint="eastAsia"/>
          <w:sz w:val="24"/>
          <w:szCs w:val="24"/>
        </w:rPr>
        <w:tab/>
      </w:r>
      <w:r>
        <w:rPr>
          <w:rFonts w:hint="eastAsia"/>
          <w:sz w:val="24"/>
          <w:szCs w:val="24"/>
        </w:rPr>
        <w:t xml:space="preserve">                         乙　　方：</w:t>
      </w:r>
    </w:p>
    <w:p w14:paraId="3D0A9C35">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单位名称（盖章）：</w:t>
      </w:r>
      <w:r>
        <w:rPr>
          <w:rFonts w:hint="eastAsia"/>
          <w:sz w:val="24"/>
          <w:szCs w:val="24"/>
        </w:rPr>
        <w:tab/>
      </w:r>
      <w:r>
        <w:rPr>
          <w:rFonts w:hint="eastAsia"/>
          <w:sz w:val="24"/>
          <w:szCs w:val="24"/>
        </w:rPr>
        <w:t xml:space="preserve">                  单位名称（盖章）：</w:t>
      </w:r>
    </w:p>
    <w:p w14:paraId="6B52840A">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单位地址：</w:t>
      </w:r>
      <w:r>
        <w:rPr>
          <w:rFonts w:hint="eastAsia"/>
          <w:sz w:val="24"/>
          <w:szCs w:val="24"/>
        </w:rPr>
        <w:tab/>
      </w:r>
      <w:r>
        <w:rPr>
          <w:rFonts w:hint="eastAsia"/>
          <w:sz w:val="24"/>
          <w:szCs w:val="24"/>
        </w:rPr>
        <w:t xml:space="preserve">                         单位地址：</w:t>
      </w:r>
    </w:p>
    <w:p w14:paraId="2C7F94BA">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 xml:space="preserve">法人代表授权人(签字)：             </w:t>
      </w:r>
      <w:r>
        <w:rPr>
          <w:rFonts w:hint="eastAsia"/>
          <w:sz w:val="24"/>
          <w:szCs w:val="24"/>
        </w:rPr>
        <w:tab/>
      </w:r>
      <w:r>
        <w:rPr>
          <w:rFonts w:hint="eastAsia"/>
          <w:sz w:val="24"/>
          <w:szCs w:val="24"/>
        </w:rPr>
        <w:t>法人代表授权人(签字)：</w:t>
      </w:r>
    </w:p>
    <w:p w14:paraId="13BDC5DF">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联 系 人：</w:t>
      </w:r>
      <w:r>
        <w:rPr>
          <w:rFonts w:hint="eastAsia"/>
          <w:sz w:val="24"/>
          <w:szCs w:val="24"/>
        </w:rPr>
        <w:tab/>
      </w:r>
      <w:r>
        <w:rPr>
          <w:rFonts w:hint="eastAsia"/>
          <w:sz w:val="24"/>
          <w:szCs w:val="24"/>
        </w:rPr>
        <w:t xml:space="preserve">                         联 系 人：</w:t>
      </w:r>
    </w:p>
    <w:p w14:paraId="01D9FF7B">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 xml:space="preserve">电　　话：                         </w:t>
      </w:r>
      <w:r>
        <w:rPr>
          <w:rFonts w:hint="eastAsia"/>
          <w:sz w:val="24"/>
          <w:szCs w:val="24"/>
        </w:rPr>
        <w:tab/>
      </w:r>
      <w:r>
        <w:rPr>
          <w:rFonts w:hint="eastAsia"/>
          <w:sz w:val="24"/>
          <w:szCs w:val="24"/>
        </w:rPr>
        <w:t>电　　话：</w:t>
      </w:r>
    </w:p>
    <w:p w14:paraId="262DF7C9">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 xml:space="preserve">传　　真：                         </w:t>
      </w:r>
      <w:r>
        <w:rPr>
          <w:rFonts w:hint="eastAsia"/>
          <w:sz w:val="24"/>
          <w:szCs w:val="24"/>
        </w:rPr>
        <w:tab/>
      </w:r>
      <w:r>
        <w:rPr>
          <w:rFonts w:hint="eastAsia"/>
          <w:sz w:val="24"/>
          <w:szCs w:val="24"/>
        </w:rPr>
        <w:t>传　　真：</w:t>
      </w:r>
    </w:p>
    <w:p w14:paraId="7C226835">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 xml:space="preserve">邮政编码：                         </w:t>
      </w:r>
      <w:r>
        <w:rPr>
          <w:rFonts w:hint="eastAsia"/>
          <w:sz w:val="24"/>
          <w:szCs w:val="24"/>
        </w:rPr>
        <w:tab/>
      </w:r>
      <w:r>
        <w:rPr>
          <w:rFonts w:hint="eastAsia"/>
          <w:sz w:val="24"/>
          <w:szCs w:val="24"/>
        </w:rPr>
        <w:t>邮政编码：</w:t>
      </w:r>
    </w:p>
    <w:p w14:paraId="028A147B">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 xml:space="preserve">开户银行：                         </w:t>
      </w:r>
      <w:r>
        <w:rPr>
          <w:rFonts w:hint="eastAsia"/>
          <w:sz w:val="24"/>
          <w:szCs w:val="24"/>
        </w:rPr>
        <w:tab/>
      </w:r>
      <w:r>
        <w:rPr>
          <w:rFonts w:hint="eastAsia"/>
          <w:sz w:val="24"/>
          <w:szCs w:val="24"/>
        </w:rPr>
        <w:t>开户银行：</w:t>
      </w:r>
    </w:p>
    <w:p w14:paraId="554E9F72">
      <w:pPr>
        <w:keepNext w:val="0"/>
        <w:keepLines w:val="0"/>
        <w:pageBreakBefore w:val="0"/>
        <w:widowControl w:val="0"/>
        <w:kinsoku/>
        <w:wordWrap w:val="0"/>
        <w:overflowPunct/>
        <w:topLinePunct w:val="0"/>
        <w:bidi w:val="0"/>
        <w:spacing w:before="78" w:beforeLines="25" w:line="360" w:lineRule="auto"/>
        <w:ind w:firstLine="969" w:firstLineChars="404"/>
        <w:contextualSpacing/>
        <w:textAlignment w:val="auto"/>
        <w:rPr>
          <w:sz w:val="24"/>
          <w:szCs w:val="24"/>
        </w:rPr>
      </w:pPr>
      <w:r>
        <w:rPr>
          <w:rFonts w:hint="eastAsia"/>
          <w:sz w:val="24"/>
          <w:szCs w:val="24"/>
        </w:rPr>
        <w:t xml:space="preserve">帐　　号：                         </w:t>
      </w:r>
      <w:r>
        <w:rPr>
          <w:rFonts w:hint="eastAsia"/>
          <w:sz w:val="24"/>
          <w:szCs w:val="24"/>
        </w:rPr>
        <w:tab/>
      </w:r>
      <w:r>
        <w:rPr>
          <w:rFonts w:hint="eastAsia"/>
          <w:sz w:val="24"/>
          <w:szCs w:val="24"/>
        </w:rPr>
        <w:t>帐　　号：</w:t>
      </w:r>
    </w:p>
    <w:p w14:paraId="5AF60267">
      <w:pPr>
        <w:keepNext w:val="0"/>
        <w:keepLines w:val="0"/>
        <w:pageBreakBefore w:val="0"/>
        <w:widowControl w:val="0"/>
        <w:kinsoku/>
        <w:overflowPunct/>
        <w:topLinePunct w:val="0"/>
        <w:bidi w:val="0"/>
        <w:spacing w:line="360" w:lineRule="auto"/>
        <w:ind w:left="550" w:firstLine="420" w:firstLineChars="175"/>
        <w:textAlignment w:val="auto"/>
      </w:pPr>
      <w:r>
        <w:rPr>
          <w:rFonts w:hint="eastAsia"/>
          <w:sz w:val="24"/>
          <w:szCs w:val="24"/>
        </w:rPr>
        <w:t xml:space="preserve">税　　号：                         </w:t>
      </w:r>
      <w:r>
        <w:rPr>
          <w:rFonts w:hint="eastAsia"/>
          <w:sz w:val="24"/>
          <w:szCs w:val="24"/>
        </w:rPr>
        <w:tab/>
      </w:r>
      <w:r>
        <w:rPr>
          <w:rFonts w:hint="eastAsia"/>
          <w:sz w:val="24"/>
          <w:szCs w:val="24"/>
        </w:rPr>
        <w:t>税　　号：</w:t>
      </w:r>
    </w:p>
    <w:p w14:paraId="79F7815E">
      <w:pPr>
        <w:adjustRightInd w:val="0"/>
        <w:snapToGrid w:val="0"/>
        <w:spacing w:line="360" w:lineRule="auto"/>
        <w:jc w:val="left"/>
        <w:rPr>
          <w:rFonts w:ascii="宋体" w:hAnsi="宋体" w:cs="宋体"/>
          <w:b/>
          <w:bCs/>
          <w:kern w:val="0"/>
          <w:sz w:val="24"/>
        </w:rPr>
      </w:pPr>
    </w:p>
    <w:p w14:paraId="7E6A07DC">
      <w:pPr>
        <w:adjustRightInd w:val="0"/>
        <w:snapToGrid w:val="0"/>
        <w:spacing w:line="360" w:lineRule="auto"/>
        <w:jc w:val="left"/>
        <w:rPr>
          <w:rFonts w:ascii="宋体" w:hAnsi="宋体" w:cs="宋体"/>
          <w:b/>
          <w:bCs/>
          <w:kern w:val="0"/>
          <w:sz w:val="24"/>
        </w:rPr>
      </w:pPr>
    </w:p>
    <w:bookmarkEnd w:id="102"/>
    <w:bookmarkEnd w:id="103"/>
    <w:p w14:paraId="5A52808E">
      <w:pPr>
        <w:jc w:val="center"/>
        <w:outlineLvl w:val="0"/>
        <w:rPr>
          <w:rFonts w:hint="eastAsia" w:ascii="黑体" w:hAnsi="黑体" w:eastAsia="黑体" w:cs="黑体"/>
          <w:b/>
          <w:sz w:val="32"/>
          <w:szCs w:val="32"/>
        </w:rPr>
      </w:pPr>
      <w:bookmarkStart w:id="106" w:name="_Toc23195_WPSOffice_Level1"/>
      <w:bookmarkStart w:id="107" w:name="_Toc5930_WPSOffice_Level1"/>
    </w:p>
    <w:p w14:paraId="3BEAB21A">
      <w:pPr>
        <w:jc w:val="center"/>
        <w:outlineLvl w:val="0"/>
        <w:rPr>
          <w:rFonts w:hint="eastAsia" w:ascii="黑体" w:hAnsi="黑体" w:eastAsia="黑体" w:cs="黑体"/>
          <w:b/>
          <w:sz w:val="32"/>
          <w:szCs w:val="32"/>
        </w:rPr>
      </w:pPr>
    </w:p>
    <w:p w14:paraId="247EA603">
      <w:pPr>
        <w:jc w:val="center"/>
        <w:outlineLvl w:val="0"/>
        <w:rPr>
          <w:rFonts w:hint="eastAsia" w:ascii="黑体" w:hAnsi="黑体" w:eastAsia="黑体" w:cs="黑体"/>
          <w:b/>
          <w:sz w:val="32"/>
          <w:szCs w:val="32"/>
        </w:rPr>
      </w:pPr>
    </w:p>
    <w:p w14:paraId="25297CF7">
      <w:pPr>
        <w:jc w:val="center"/>
        <w:outlineLvl w:val="0"/>
        <w:rPr>
          <w:rFonts w:hint="eastAsia" w:ascii="黑体" w:hAnsi="黑体" w:eastAsia="黑体" w:cs="黑体"/>
          <w:b/>
          <w:sz w:val="32"/>
          <w:szCs w:val="32"/>
        </w:rPr>
      </w:pPr>
    </w:p>
    <w:p w14:paraId="01EF8B8B">
      <w:pPr>
        <w:jc w:val="center"/>
        <w:outlineLvl w:val="0"/>
        <w:rPr>
          <w:rFonts w:hint="eastAsia" w:ascii="黑体" w:hAnsi="黑体" w:eastAsia="黑体" w:cs="黑体"/>
          <w:b/>
          <w:sz w:val="32"/>
          <w:szCs w:val="32"/>
        </w:rPr>
      </w:pPr>
    </w:p>
    <w:p w14:paraId="3BC9DD0C">
      <w:pPr>
        <w:jc w:val="center"/>
        <w:outlineLvl w:val="0"/>
        <w:rPr>
          <w:rFonts w:hint="eastAsia" w:ascii="黑体" w:hAnsi="黑体" w:eastAsia="黑体" w:cs="黑体"/>
          <w:b/>
          <w:sz w:val="32"/>
          <w:szCs w:val="32"/>
        </w:rPr>
      </w:pPr>
    </w:p>
    <w:p w14:paraId="336FE94A">
      <w:pPr>
        <w:jc w:val="center"/>
        <w:outlineLvl w:val="0"/>
        <w:rPr>
          <w:rFonts w:hint="eastAsia" w:ascii="黑体" w:hAnsi="黑体" w:eastAsia="黑体" w:cs="黑体"/>
          <w:b/>
          <w:sz w:val="32"/>
          <w:szCs w:val="32"/>
        </w:rPr>
      </w:pPr>
    </w:p>
    <w:p w14:paraId="7264C4B5">
      <w:pPr>
        <w:jc w:val="center"/>
        <w:outlineLvl w:val="0"/>
        <w:rPr>
          <w:rFonts w:hint="eastAsia" w:ascii="黑体" w:hAnsi="黑体" w:eastAsia="黑体" w:cs="黑体"/>
          <w:b/>
          <w:sz w:val="32"/>
          <w:szCs w:val="32"/>
        </w:rPr>
      </w:pPr>
    </w:p>
    <w:p w14:paraId="29BA9DA1">
      <w:pPr>
        <w:jc w:val="center"/>
        <w:outlineLvl w:val="0"/>
        <w:rPr>
          <w:rFonts w:hint="eastAsia" w:ascii="黑体" w:hAnsi="黑体" w:eastAsia="黑体" w:cs="黑体"/>
          <w:b/>
          <w:sz w:val="32"/>
          <w:szCs w:val="32"/>
        </w:rPr>
      </w:pPr>
    </w:p>
    <w:p w14:paraId="053354BB">
      <w:pPr>
        <w:jc w:val="center"/>
        <w:outlineLvl w:val="0"/>
        <w:rPr>
          <w:rFonts w:hint="eastAsia" w:ascii="黑体" w:hAnsi="黑体" w:eastAsia="黑体" w:cs="黑体"/>
          <w:b/>
          <w:sz w:val="32"/>
          <w:szCs w:val="32"/>
        </w:rPr>
      </w:pPr>
    </w:p>
    <w:p w14:paraId="0401B755">
      <w:pPr>
        <w:jc w:val="center"/>
        <w:outlineLvl w:val="0"/>
        <w:rPr>
          <w:rFonts w:hint="eastAsia" w:ascii="黑体" w:hAnsi="黑体" w:eastAsia="黑体" w:cs="黑体"/>
          <w:b/>
          <w:sz w:val="32"/>
          <w:szCs w:val="32"/>
        </w:rPr>
      </w:pPr>
    </w:p>
    <w:p w14:paraId="50C81E23">
      <w:pPr>
        <w:jc w:val="center"/>
        <w:outlineLvl w:val="0"/>
        <w:rPr>
          <w:rFonts w:hint="eastAsia" w:ascii="黑体" w:hAnsi="黑体" w:eastAsia="黑体" w:cs="黑体"/>
          <w:b/>
          <w:sz w:val="32"/>
          <w:szCs w:val="32"/>
        </w:rPr>
      </w:pPr>
    </w:p>
    <w:p w14:paraId="3B0A3A00">
      <w:pPr>
        <w:jc w:val="center"/>
        <w:outlineLvl w:val="0"/>
        <w:rPr>
          <w:rFonts w:hint="eastAsia" w:ascii="黑体" w:hAnsi="黑体" w:eastAsia="黑体" w:cs="黑体"/>
          <w:b/>
          <w:sz w:val="32"/>
          <w:szCs w:val="32"/>
        </w:rPr>
      </w:pPr>
      <w:bookmarkStart w:id="108" w:name="_Toc32373"/>
      <w:r>
        <w:rPr>
          <w:rFonts w:hint="eastAsia" w:ascii="黑体" w:hAnsi="黑体" w:eastAsia="黑体" w:cs="黑体"/>
          <w:b/>
          <w:sz w:val="32"/>
          <w:szCs w:val="32"/>
        </w:rPr>
        <w:t>第六章  投标文件格式</w:t>
      </w:r>
      <w:bookmarkEnd w:id="106"/>
      <w:bookmarkEnd w:id="107"/>
      <w:bookmarkEnd w:id="108"/>
    </w:p>
    <w:p w14:paraId="5E23023F">
      <w:pPr>
        <w:pStyle w:val="14"/>
        <w:spacing w:line="500" w:lineRule="exact"/>
        <w:jc w:val="right"/>
        <w:rPr>
          <w:rFonts w:ascii="宋体" w:hAnsi="宋体" w:eastAsia="宋体" w:cs="宋体"/>
          <w:sz w:val="24"/>
          <w:szCs w:val="32"/>
        </w:rPr>
      </w:pPr>
      <w:bookmarkStart w:id="109" w:name="_Toc3409_WPSOffice_Level1"/>
      <w:bookmarkStart w:id="110" w:name="_Toc11699_WPSOffice_Level1"/>
      <w:r>
        <w:rPr>
          <w:rFonts w:hint="eastAsia" w:ascii="宋体" w:hAnsi="宋体" w:eastAsia="宋体" w:cs="宋体"/>
          <w:sz w:val="30"/>
          <w:szCs w:val="32"/>
        </w:rPr>
        <w:t>封面：</w:t>
      </w:r>
      <w:bookmarkEnd w:id="109"/>
      <w:bookmarkEnd w:id="110"/>
      <w:bookmarkStart w:id="111" w:name="_Toc26111_WPSOffice_Level1"/>
      <w:bookmarkStart w:id="112" w:name="_Toc10513_WPSOffice_Level1"/>
      <w:r>
        <w:rPr>
          <w:rFonts w:hint="eastAsia" w:ascii="宋体" w:hAnsi="宋体" w:eastAsia="宋体" w:cs="宋体"/>
          <w:sz w:val="28"/>
          <w:szCs w:val="36"/>
        </w:rPr>
        <w:t>正（副）本</w:t>
      </w:r>
      <w:bookmarkEnd w:id="111"/>
      <w:bookmarkEnd w:id="112"/>
    </w:p>
    <w:p w14:paraId="50AB42ED">
      <w:pPr>
        <w:rPr>
          <w:rFonts w:ascii="宋体" w:hAnsi="宋体" w:cs="宋体"/>
          <w:sz w:val="24"/>
        </w:rPr>
      </w:pPr>
    </w:p>
    <w:p w14:paraId="2C07DC4B">
      <w:pPr>
        <w:pStyle w:val="14"/>
        <w:spacing w:line="800" w:lineRule="exact"/>
        <w:jc w:val="center"/>
        <w:rPr>
          <w:rFonts w:hint="eastAsia" w:ascii="黑体" w:hAnsi="黑体" w:eastAsia="黑体" w:cs="黑体"/>
          <w:szCs w:val="21"/>
          <w:lang w:eastAsia="zh-CN"/>
        </w:rPr>
      </w:pPr>
      <w:bookmarkStart w:id="113" w:name="_Toc17627_WPSOffice_Level1"/>
      <w:bookmarkStart w:id="114" w:name="_Toc26377_WPSOffice_Level1"/>
    </w:p>
    <w:p w14:paraId="6D5246BB">
      <w:pPr>
        <w:pStyle w:val="29"/>
        <w:rPr>
          <w:rFonts w:hint="eastAsia" w:ascii="黑体" w:hAnsi="黑体" w:eastAsia="黑体" w:cs="黑体"/>
          <w:szCs w:val="21"/>
          <w:lang w:eastAsia="zh-CN"/>
        </w:rPr>
      </w:pPr>
      <w:r>
        <w:rPr>
          <w:rFonts w:hint="eastAsia" w:ascii="黑体" w:hAnsi="黑体" w:eastAsia="黑体" w:cs="黑体"/>
          <w:szCs w:val="21"/>
          <w:lang w:eastAsia="zh-CN"/>
        </w:rPr>
        <w:t>竹山县2025年9月至2026年9月</w:t>
      </w:r>
      <w:r>
        <w:rPr>
          <w:rFonts w:hint="eastAsia" w:ascii="黑体" w:hAnsi="黑体" w:eastAsia="黑体" w:cs="黑体"/>
          <w:szCs w:val="21"/>
          <w:lang w:val="en-US" w:eastAsia="zh-CN"/>
        </w:rPr>
        <w:t>工业项目及社会资本投资的</w:t>
      </w:r>
      <w:r>
        <w:rPr>
          <w:rFonts w:hint="eastAsia" w:ascii="黑体" w:hAnsi="黑体" w:eastAsia="黑体" w:cs="黑体"/>
          <w:szCs w:val="21"/>
          <w:lang w:eastAsia="zh-CN"/>
        </w:rPr>
        <w:t>房屋建筑工程施工图联合审查（含人防、消防审查及相关的技术服务）遴选第三方服务机构</w:t>
      </w:r>
    </w:p>
    <w:p w14:paraId="3DE530A0">
      <w:pPr>
        <w:rPr>
          <w:rFonts w:hint="eastAsia"/>
          <w:lang w:eastAsia="zh-CN"/>
        </w:rPr>
      </w:pPr>
    </w:p>
    <w:p w14:paraId="51FEB4A7"/>
    <w:p w14:paraId="78C014D3">
      <w:pPr>
        <w:pStyle w:val="5"/>
        <w:outlineLvl w:val="9"/>
      </w:pPr>
    </w:p>
    <w:p w14:paraId="6B3EBFED">
      <w:pPr>
        <w:pStyle w:val="14"/>
        <w:spacing w:line="800" w:lineRule="exact"/>
        <w:jc w:val="center"/>
        <w:rPr>
          <w:rFonts w:ascii="宋体" w:hAnsi="宋体" w:eastAsia="宋体" w:cs="宋体"/>
          <w:b/>
          <w:sz w:val="56"/>
          <w:szCs w:val="36"/>
        </w:rPr>
      </w:pPr>
      <w:r>
        <w:rPr>
          <w:rFonts w:hint="eastAsia" w:ascii="宋体" w:hAnsi="宋体" w:eastAsia="宋体" w:cs="宋体"/>
          <w:b/>
          <w:sz w:val="56"/>
          <w:szCs w:val="36"/>
        </w:rPr>
        <w:t>竞争性磋商响应文件</w:t>
      </w:r>
    </w:p>
    <w:p w14:paraId="268C81E0">
      <w:pPr>
        <w:ind w:firstLine="1258" w:firstLineChars="286"/>
        <w:rPr>
          <w:rFonts w:ascii="宋体" w:hAnsi="宋体" w:cs="宋体"/>
          <w:sz w:val="44"/>
        </w:rPr>
      </w:pPr>
    </w:p>
    <w:p w14:paraId="73D2E68B">
      <w:pPr>
        <w:ind w:firstLine="1487" w:firstLineChars="338"/>
        <w:rPr>
          <w:rFonts w:ascii="宋体" w:hAnsi="宋体" w:cs="宋体"/>
          <w:sz w:val="44"/>
        </w:rPr>
      </w:pPr>
    </w:p>
    <w:p w14:paraId="7B6D0C56">
      <w:pPr>
        <w:ind w:firstLine="1487" w:firstLineChars="338"/>
        <w:rPr>
          <w:rFonts w:ascii="宋体" w:hAnsi="宋体" w:cs="宋体"/>
          <w:sz w:val="44"/>
        </w:rPr>
      </w:pPr>
    </w:p>
    <w:p w14:paraId="41C30303">
      <w:pPr>
        <w:ind w:firstLine="1487" w:firstLineChars="338"/>
        <w:rPr>
          <w:rFonts w:ascii="宋体" w:hAnsi="宋体" w:cs="宋体"/>
          <w:sz w:val="44"/>
        </w:rPr>
      </w:pPr>
    </w:p>
    <w:p w14:paraId="7ECE11B4">
      <w:pPr>
        <w:ind w:firstLine="1487" w:firstLineChars="338"/>
        <w:rPr>
          <w:rFonts w:ascii="宋体" w:hAnsi="宋体" w:cs="宋体"/>
          <w:sz w:val="44"/>
        </w:rPr>
      </w:pPr>
    </w:p>
    <w:p w14:paraId="28BDCA8C">
      <w:pPr>
        <w:rPr>
          <w:rFonts w:ascii="宋体" w:hAnsi="宋体" w:cs="宋体"/>
          <w:sz w:val="44"/>
        </w:rPr>
      </w:pPr>
    </w:p>
    <w:p w14:paraId="409676EE">
      <w:pPr>
        <w:jc w:val="center"/>
        <w:rPr>
          <w:rFonts w:ascii="宋体" w:hAnsi="宋体" w:cs="宋体"/>
          <w:sz w:val="36"/>
        </w:rPr>
      </w:pPr>
      <w:r>
        <w:rPr>
          <w:rFonts w:hint="eastAsia" w:ascii="宋体" w:hAnsi="宋体" w:cs="宋体"/>
          <w:sz w:val="36"/>
        </w:rPr>
        <w:t>磋商供应商：(签章)</w:t>
      </w:r>
    </w:p>
    <w:p w14:paraId="722E7578">
      <w:pPr>
        <w:jc w:val="center"/>
        <w:rPr>
          <w:rFonts w:ascii="宋体" w:hAnsi="宋体" w:cs="宋体"/>
          <w:sz w:val="36"/>
        </w:rPr>
        <w:sectPr>
          <w:footerReference r:id="rId6" w:type="default"/>
          <w:pgSz w:w="11906" w:h="16838"/>
          <w:pgMar w:top="1440" w:right="1474" w:bottom="1440" w:left="1587" w:header="851" w:footer="992" w:gutter="0"/>
          <w:pgNumType w:fmt="decimal"/>
          <w:cols w:space="425" w:num="1"/>
          <w:docGrid w:type="lines" w:linePitch="312" w:charSpace="0"/>
        </w:sectPr>
      </w:pPr>
      <w:r>
        <w:rPr>
          <w:rFonts w:hint="eastAsia" w:ascii="宋体" w:hAnsi="宋体" w:cs="宋体"/>
          <w:sz w:val="36"/>
        </w:rPr>
        <w:t>年</w:t>
      </w:r>
      <w:r>
        <w:rPr>
          <w:rFonts w:hint="eastAsia" w:ascii="宋体" w:hAnsi="宋体" w:cs="宋体"/>
          <w:sz w:val="36"/>
          <w:lang w:val="en-US" w:eastAsia="zh-CN"/>
        </w:rPr>
        <w:t xml:space="preserve">  </w:t>
      </w:r>
      <w:r>
        <w:rPr>
          <w:rFonts w:hint="eastAsia" w:ascii="宋体" w:hAnsi="宋体" w:cs="宋体"/>
          <w:sz w:val="36"/>
        </w:rPr>
        <w:t>月</w:t>
      </w:r>
      <w:r>
        <w:rPr>
          <w:rFonts w:hint="eastAsia" w:ascii="宋体" w:hAnsi="宋体" w:cs="宋体"/>
          <w:sz w:val="36"/>
          <w:lang w:val="en-US" w:eastAsia="zh-CN"/>
        </w:rPr>
        <w:t xml:space="preserve">  </w:t>
      </w:r>
      <w:r>
        <w:rPr>
          <w:rFonts w:hint="eastAsia" w:ascii="宋体" w:hAnsi="宋体" w:cs="宋体"/>
          <w:sz w:val="36"/>
        </w:rPr>
        <w:t>日</w:t>
      </w:r>
    </w:p>
    <w:p w14:paraId="55683F66">
      <w:pPr>
        <w:pStyle w:val="13"/>
        <w:spacing w:line="360" w:lineRule="auto"/>
        <w:jc w:val="center"/>
        <w:rPr>
          <w:rFonts w:hAnsi="宋体" w:cs="宋体"/>
          <w:b/>
          <w:sz w:val="36"/>
          <w:szCs w:val="36"/>
        </w:rPr>
      </w:pPr>
      <w:r>
        <w:rPr>
          <w:rFonts w:hint="eastAsia" w:hAnsi="宋体" w:cs="宋体"/>
          <w:b/>
          <w:sz w:val="36"/>
          <w:szCs w:val="36"/>
        </w:rPr>
        <w:t>目   录</w:t>
      </w:r>
      <w:bookmarkEnd w:id="113"/>
      <w:bookmarkEnd w:id="114"/>
    </w:p>
    <w:p w14:paraId="561E5BD3">
      <w:pPr>
        <w:pStyle w:val="13"/>
        <w:spacing w:line="360" w:lineRule="auto"/>
        <w:jc w:val="center"/>
        <w:rPr>
          <w:rFonts w:hAnsi="宋体" w:cs="宋体"/>
          <w:b/>
          <w:sz w:val="24"/>
          <w:szCs w:val="24"/>
        </w:rPr>
      </w:pPr>
    </w:p>
    <w:p w14:paraId="64227692">
      <w:pPr>
        <w:adjustRightInd w:val="0"/>
        <w:snapToGrid w:val="0"/>
        <w:jc w:val="center"/>
        <w:outlineLvl w:val="1"/>
        <w:rPr>
          <w:rFonts w:ascii="宋体" w:hAnsi="宋体" w:cs="宋体"/>
          <w:sz w:val="24"/>
        </w:rPr>
      </w:pPr>
      <w:bookmarkStart w:id="115" w:name="_Toc25897"/>
      <w:bookmarkStart w:id="116" w:name="_Toc15799"/>
      <w:bookmarkStart w:id="117" w:name="_Toc16909_WPSOffice_Level1"/>
      <w:r>
        <w:rPr>
          <w:rFonts w:hint="eastAsia" w:ascii="宋体" w:hAnsi="宋体" w:cs="宋体"/>
          <w:sz w:val="24"/>
        </w:rPr>
        <w:t>（投标文件目录自拟）</w:t>
      </w:r>
      <w:bookmarkEnd w:id="115"/>
      <w:bookmarkEnd w:id="116"/>
      <w:bookmarkEnd w:id="117"/>
    </w:p>
    <w:p w14:paraId="4669B194">
      <w:pPr>
        <w:adjustRightInd w:val="0"/>
        <w:snapToGrid w:val="0"/>
        <w:jc w:val="center"/>
        <w:outlineLvl w:val="9"/>
        <w:rPr>
          <w:rFonts w:ascii="宋体" w:hAnsi="宋体" w:cs="宋体"/>
          <w:sz w:val="24"/>
        </w:rPr>
      </w:pPr>
    </w:p>
    <w:p w14:paraId="7528F483">
      <w:pPr>
        <w:adjustRightInd w:val="0"/>
        <w:snapToGrid w:val="0"/>
        <w:jc w:val="center"/>
        <w:outlineLvl w:val="9"/>
        <w:rPr>
          <w:rFonts w:ascii="宋体" w:hAnsi="宋体" w:cs="宋体"/>
          <w:sz w:val="24"/>
        </w:rPr>
      </w:pPr>
    </w:p>
    <w:p w14:paraId="59B4D89C">
      <w:pPr>
        <w:adjustRightInd w:val="0"/>
        <w:snapToGrid w:val="0"/>
        <w:jc w:val="center"/>
        <w:outlineLvl w:val="9"/>
        <w:rPr>
          <w:rFonts w:ascii="宋体" w:hAnsi="宋体" w:cs="宋体"/>
          <w:sz w:val="24"/>
        </w:rPr>
      </w:pPr>
    </w:p>
    <w:p w14:paraId="7516D944">
      <w:pPr>
        <w:adjustRightInd w:val="0"/>
        <w:snapToGrid w:val="0"/>
        <w:jc w:val="center"/>
        <w:outlineLvl w:val="9"/>
        <w:rPr>
          <w:rFonts w:ascii="宋体" w:hAnsi="宋体" w:cs="宋体"/>
          <w:sz w:val="24"/>
        </w:rPr>
      </w:pPr>
    </w:p>
    <w:p w14:paraId="37923006">
      <w:pPr>
        <w:adjustRightInd w:val="0"/>
        <w:snapToGrid w:val="0"/>
        <w:jc w:val="center"/>
        <w:outlineLvl w:val="9"/>
        <w:rPr>
          <w:rFonts w:ascii="宋体" w:hAnsi="宋体" w:cs="宋体"/>
          <w:sz w:val="24"/>
        </w:rPr>
      </w:pPr>
    </w:p>
    <w:p w14:paraId="3627FCAD">
      <w:pPr>
        <w:adjustRightInd w:val="0"/>
        <w:snapToGrid w:val="0"/>
        <w:jc w:val="center"/>
        <w:outlineLvl w:val="9"/>
        <w:rPr>
          <w:rFonts w:ascii="宋体" w:hAnsi="宋体" w:cs="宋体"/>
          <w:sz w:val="24"/>
        </w:rPr>
      </w:pPr>
    </w:p>
    <w:p w14:paraId="16B33798">
      <w:pPr>
        <w:adjustRightInd w:val="0"/>
        <w:snapToGrid w:val="0"/>
        <w:jc w:val="center"/>
        <w:outlineLvl w:val="9"/>
        <w:rPr>
          <w:rFonts w:ascii="宋体" w:hAnsi="宋体" w:cs="宋体"/>
          <w:sz w:val="24"/>
        </w:rPr>
      </w:pPr>
    </w:p>
    <w:p w14:paraId="20DB6651">
      <w:pPr>
        <w:adjustRightInd w:val="0"/>
        <w:snapToGrid w:val="0"/>
        <w:jc w:val="center"/>
        <w:outlineLvl w:val="9"/>
        <w:rPr>
          <w:rFonts w:ascii="宋体" w:hAnsi="宋体" w:cs="宋体"/>
          <w:sz w:val="24"/>
        </w:rPr>
      </w:pPr>
    </w:p>
    <w:p w14:paraId="2E01C05D">
      <w:pPr>
        <w:adjustRightInd w:val="0"/>
        <w:snapToGrid w:val="0"/>
        <w:jc w:val="center"/>
        <w:outlineLvl w:val="9"/>
        <w:rPr>
          <w:rFonts w:ascii="宋体" w:hAnsi="宋体" w:cs="宋体"/>
          <w:sz w:val="24"/>
        </w:rPr>
      </w:pPr>
    </w:p>
    <w:p w14:paraId="1C19F6F6">
      <w:pPr>
        <w:adjustRightInd w:val="0"/>
        <w:snapToGrid w:val="0"/>
        <w:jc w:val="center"/>
        <w:outlineLvl w:val="9"/>
        <w:rPr>
          <w:rFonts w:ascii="宋体" w:hAnsi="宋体" w:cs="宋体"/>
          <w:sz w:val="24"/>
        </w:rPr>
      </w:pPr>
    </w:p>
    <w:p w14:paraId="0B5A2D6F">
      <w:pPr>
        <w:adjustRightInd w:val="0"/>
        <w:snapToGrid w:val="0"/>
        <w:jc w:val="center"/>
        <w:outlineLvl w:val="9"/>
        <w:rPr>
          <w:rFonts w:ascii="宋体" w:hAnsi="宋体" w:cs="宋体"/>
          <w:sz w:val="24"/>
        </w:rPr>
      </w:pPr>
    </w:p>
    <w:p w14:paraId="79677C6F">
      <w:pPr>
        <w:adjustRightInd w:val="0"/>
        <w:snapToGrid w:val="0"/>
        <w:jc w:val="center"/>
        <w:outlineLvl w:val="9"/>
        <w:rPr>
          <w:rFonts w:ascii="宋体" w:hAnsi="宋体" w:cs="宋体"/>
          <w:sz w:val="24"/>
        </w:rPr>
      </w:pPr>
    </w:p>
    <w:p w14:paraId="10A9E93B">
      <w:pPr>
        <w:adjustRightInd w:val="0"/>
        <w:snapToGrid w:val="0"/>
        <w:jc w:val="center"/>
        <w:outlineLvl w:val="9"/>
        <w:rPr>
          <w:rFonts w:ascii="宋体" w:hAnsi="宋体" w:cs="宋体"/>
          <w:sz w:val="24"/>
        </w:rPr>
      </w:pPr>
    </w:p>
    <w:p w14:paraId="424ED00E">
      <w:pPr>
        <w:adjustRightInd w:val="0"/>
        <w:snapToGrid w:val="0"/>
        <w:jc w:val="center"/>
        <w:outlineLvl w:val="9"/>
        <w:rPr>
          <w:rFonts w:ascii="宋体" w:hAnsi="宋体" w:cs="宋体"/>
          <w:sz w:val="24"/>
        </w:rPr>
      </w:pPr>
    </w:p>
    <w:p w14:paraId="0E24DF43">
      <w:pPr>
        <w:adjustRightInd w:val="0"/>
        <w:snapToGrid w:val="0"/>
        <w:jc w:val="center"/>
        <w:outlineLvl w:val="9"/>
        <w:rPr>
          <w:rFonts w:ascii="宋体" w:hAnsi="宋体" w:cs="宋体"/>
          <w:sz w:val="24"/>
        </w:rPr>
      </w:pPr>
    </w:p>
    <w:p w14:paraId="1F7D4140">
      <w:pPr>
        <w:adjustRightInd w:val="0"/>
        <w:snapToGrid w:val="0"/>
        <w:jc w:val="center"/>
        <w:outlineLvl w:val="9"/>
        <w:rPr>
          <w:rFonts w:ascii="宋体" w:hAnsi="宋体" w:cs="宋体"/>
          <w:sz w:val="24"/>
        </w:rPr>
      </w:pPr>
    </w:p>
    <w:p w14:paraId="48467CF0">
      <w:pPr>
        <w:adjustRightInd w:val="0"/>
        <w:snapToGrid w:val="0"/>
        <w:jc w:val="center"/>
        <w:outlineLvl w:val="9"/>
        <w:rPr>
          <w:rFonts w:ascii="宋体" w:hAnsi="宋体" w:cs="宋体"/>
          <w:sz w:val="24"/>
        </w:rPr>
      </w:pPr>
    </w:p>
    <w:p w14:paraId="7C94F985">
      <w:pPr>
        <w:adjustRightInd w:val="0"/>
        <w:snapToGrid w:val="0"/>
        <w:jc w:val="center"/>
        <w:outlineLvl w:val="9"/>
        <w:rPr>
          <w:rFonts w:ascii="宋体" w:hAnsi="宋体" w:cs="宋体"/>
          <w:sz w:val="24"/>
        </w:rPr>
      </w:pPr>
    </w:p>
    <w:p w14:paraId="33AEC562">
      <w:pPr>
        <w:adjustRightInd w:val="0"/>
        <w:snapToGrid w:val="0"/>
        <w:jc w:val="center"/>
        <w:outlineLvl w:val="9"/>
        <w:rPr>
          <w:rFonts w:ascii="宋体" w:hAnsi="宋体" w:cs="宋体"/>
          <w:sz w:val="24"/>
        </w:rPr>
      </w:pPr>
    </w:p>
    <w:p w14:paraId="7DE72EF9">
      <w:pPr>
        <w:adjustRightInd w:val="0"/>
        <w:snapToGrid w:val="0"/>
        <w:jc w:val="center"/>
        <w:outlineLvl w:val="9"/>
        <w:rPr>
          <w:rFonts w:ascii="宋体" w:hAnsi="宋体" w:cs="宋体"/>
          <w:sz w:val="24"/>
        </w:rPr>
      </w:pPr>
    </w:p>
    <w:p w14:paraId="3475146D">
      <w:pPr>
        <w:adjustRightInd w:val="0"/>
        <w:snapToGrid w:val="0"/>
        <w:jc w:val="center"/>
        <w:outlineLvl w:val="9"/>
        <w:rPr>
          <w:rFonts w:ascii="宋体" w:hAnsi="宋体" w:cs="宋体"/>
          <w:sz w:val="24"/>
        </w:rPr>
      </w:pPr>
    </w:p>
    <w:p w14:paraId="48D9F437">
      <w:pPr>
        <w:adjustRightInd w:val="0"/>
        <w:snapToGrid w:val="0"/>
        <w:jc w:val="center"/>
        <w:outlineLvl w:val="9"/>
        <w:rPr>
          <w:rFonts w:ascii="宋体" w:hAnsi="宋体" w:cs="宋体"/>
          <w:sz w:val="24"/>
        </w:rPr>
      </w:pPr>
    </w:p>
    <w:p w14:paraId="56ADB0D9">
      <w:pPr>
        <w:adjustRightInd w:val="0"/>
        <w:snapToGrid w:val="0"/>
        <w:jc w:val="center"/>
        <w:outlineLvl w:val="9"/>
        <w:rPr>
          <w:rFonts w:ascii="宋体" w:hAnsi="宋体" w:cs="宋体"/>
          <w:sz w:val="24"/>
        </w:rPr>
      </w:pPr>
    </w:p>
    <w:p w14:paraId="27E65B14">
      <w:pPr>
        <w:adjustRightInd w:val="0"/>
        <w:snapToGrid w:val="0"/>
        <w:jc w:val="center"/>
        <w:outlineLvl w:val="9"/>
        <w:rPr>
          <w:rFonts w:ascii="宋体" w:hAnsi="宋体" w:cs="宋体"/>
          <w:sz w:val="24"/>
        </w:rPr>
      </w:pPr>
    </w:p>
    <w:p w14:paraId="24F8C476">
      <w:pPr>
        <w:adjustRightInd w:val="0"/>
        <w:snapToGrid w:val="0"/>
        <w:jc w:val="center"/>
        <w:outlineLvl w:val="9"/>
        <w:rPr>
          <w:rFonts w:ascii="宋体" w:hAnsi="宋体" w:cs="宋体"/>
          <w:sz w:val="24"/>
        </w:rPr>
      </w:pPr>
    </w:p>
    <w:p w14:paraId="55956F9C">
      <w:pPr>
        <w:adjustRightInd w:val="0"/>
        <w:snapToGrid w:val="0"/>
        <w:jc w:val="center"/>
        <w:outlineLvl w:val="9"/>
        <w:rPr>
          <w:rFonts w:ascii="宋体" w:hAnsi="宋体" w:cs="宋体"/>
          <w:sz w:val="24"/>
        </w:rPr>
      </w:pPr>
    </w:p>
    <w:p w14:paraId="0260AB8E">
      <w:pPr>
        <w:adjustRightInd w:val="0"/>
        <w:snapToGrid w:val="0"/>
        <w:jc w:val="center"/>
        <w:outlineLvl w:val="9"/>
        <w:rPr>
          <w:rFonts w:ascii="宋体" w:hAnsi="宋体" w:cs="宋体"/>
          <w:sz w:val="24"/>
        </w:rPr>
      </w:pPr>
    </w:p>
    <w:p w14:paraId="1A562CEB">
      <w:pPr>
        <w:adjustRightInd w:val="0"/>
        <w:snapToGrid w:val="0"/>
        <w:jc w:val="center"/>
        <w:outlineLvl w:val="9"/>
        <w:rPr>
          <w:rFonts w:ascii="宋体" w:hAnsi="宋体" w:cs="宋体"/>
          <w:sz w:val="24"/>
        </w:rPr>
      </w:pPr>
    </w:p>
    <w:p w14:paraId="3748A47A">
      <w:pPr>
        <w:adjustRightInd w:val="0"/>
        <w:snapToGrid w:val="0"/>
        <w:jc w:val="center"/>
        <w:outlineLvl w:val="9"/>
        <w:rPr>
          <w:rFonts w:ascii="宋体" w:hAnsi="宋体" w:cs="宋体"/>
          <w:sz w:val="24"/>
        </w:rPr>
      </w:pPr>
    </w:p>
    <w:p w14:paraId="31915C80">
      <w:pPr>
        <w:adjustRightInd w:val="0"/>
        <w:snapToGrid w:val="0"/>
        <w:jc w:val="center"/>
        <w:outlineLvl w:val="9"/>
        <w:rPr>
          <w:rFonts w:ascii="宋体" w:hAnsi="宋体" w:cs="宋体"/>
          <w:sz w:val="24"/>
        </w:rPr>
      </w:pPr>
    </w:p>
    <w:p w14:paraId="47AE6850">
      <w:pPr>
        <w:adjustRightInd w:val="0"/>
        <w:snapToGrid w:val="0"/>
        <w:jc w:val="center"/>
        <w:outlineLvl w:val="9"/>
        <w:rPr>
          <w:rFonts w:ascii="宋体" w:hAnsi="宋体" w:cs="宋体"/>
          <w:sz w:val="24"/>
        </w:rPr>
      </w:pPr>
    </w:p>
    <w:p w14:paraId="11230DFD">
      <w:pPr>
        <w:adjustRightInd w:val="0"/>
        <w:snapToGrid w:val="0"/>
        <w:jc w:val="center"/>
        <w:outlineLvl w:val="9"/>
        <w:rPr>
          <w:rFonts w:ascii="宋体" w:hAnsi="宋体" w:cs="宋体"/>
          <w:sz w:val="24"/>
        </w:rPr>
      </w:pPr>
    </w:p>
    <w:p w14:paraId="3B5A3240">
      <w:pPr>
        <w:spacing w:beforeLines="100" w:line="360" w:lineRule="auto"/>
        <w:jc w:val="center"/>
        <w:rPr>
          <w:rFonts w:ascii="宋体" w:hAnsi="宋体" w:cs="宋体"/>
          <w:b/>
          <w:sz w:val="24"/>
        </w:rPr>
      </w:pPr>
      <w:bookmarkStart w:id="118" w:name="_Toc20293_WPSOffice_Level1"/>
    </w:p>
    <w:p w14:paraId="73A818ED">
      <w:pPr>
        <w:pStyle w:val="29"/>
        <w:jc w:val="both"/>
      </w:pPr>
    </w:p>
    <w:p w14:paraId="64A38EE8"/>
    <w:p w14:paraId="13AE43BE">
      <w:pPr>
        <w:spacing w:beforeLines="100" w:line="360" w:lineRule="auto"/>
        <w:jc w:val="center"/>
        <w:outlineLvl w:val="1"/>
        <w:rPr>
          <w:rFonts w:ascii="宋体" w:hAnsi="宋体" w:cs="宋体"/>
          <w:b/>
          <w:bCs/>
          <w:sz w:val="32"/>
          <w:szCs w:val="32"/>
        </w:rPr>
      </w:pPr>
      <w:bookmarkStart w:id="119" w:name="_Toc14019"/>
      <w:bookmarkStart w:id="120" w:name="_Toc6608"/>
      <w:r>
        <w:rPr>
          <w:rFonts w:hint="eastAsia" w:ascii="宋体" w:hAnsi="宋体" w:cs="宋体"/>
          <w:b/>
          <w:bCs/>
          <w:sz w:val="32"/>
          <w:szCs w:val="32"/>
        </w:rPr>
        <w:t>一、投标函</w:t>
      </w:r>
      <w:bookmarkEnd w:id="119"/>
      <w:bookmarkEnd w:id="120"/>
    </w:p>
    <w:p w14:paraId="408A9350">
      <w:pPr>
        <w:spacing w:line="460" w:lineRule="exact"/>
        <w:rPr>
          <w:rFonts w:ascii="宋体" w:hAnsi="宋体" w:eastAsia="宋体" w:cs="宋体"/>
          <w:szCs w:val="21"/>
        </w:rPr>
      </w:pPr>
    </w:p>
    <w:p w14:paraId="34A17AC2">
      <w:pPr>
        <w:spacing w:line="360" w:lineRule="auto"/>
        <w:rPr>
          <w:rFonts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kern w:val="0"/>
          <w:szCs w:val="21"/>
          <w:u w:val="single"/>
        </w:rPr>
        <w:t>（采购人名称）</w:t>
      </w:r>
    </w:p>
    <w:p w14:paraId="7569D286">
      <w:pPr>
        <w:spacing w:line="360" w:lineRule="auto"/>
        <w:ind w:firstLine="420" w:firstLineChars="200"/>
        <w:rPr>
          <w:rFonts w:ascii="宋体" w:hAnsi="宋体" w:eastAsia="宋体" w:cs="宋体"/>
          <w:szCs w:val="21"/>
        </w:rPr>
      </w:pPr>
      <w:r>
        <w:rPr>
          <w:rFonts w:hint="eastAsia" w:ascii="宋体" w:hAnsi="宋体" w:eastAsia="宋体" w:cs="宋体"/>
          <w:szCs w:val="21"/>
        </w:rPr>
        <w:t>我公司已研究</w:t>
      </w:r>
      <w:r>
        <w:rPr>
          <w:rFonts w:hint="eastAsia" w:ascii="宋体" w:hAnsi="宋体" w:eastAsia="宋体" w:cs="宋体"/>
          <w:szCs w:val="21"/>
          <w:u w:val="single"/>
        </w:rPr>
        <w:t>（项目名称）</w:t>
      </w:r>
      <w:r>
        <w:rPr>
          <w:rFonts w:hint="eastAsia" w:ascii="宋体" w:hAnsi="宋体" w:eastAsia="宋体" w:cs="宋体"/>
          <w:szCs w:val="21"/>
        </w:rPr>
        <w:t>竞争性磋商文件的全部内容，同意接受招标文件的全部内容和要求，以本投标书向贵方招标文件的全部内容进行投标。</w:t>
      </w:r>
    </w:p>
    <w:p w14:paraId="7CA7ED64">
      <w:pPr>
        <w:spacing w:line="360" w:lineRule="auto"/>
        <w:ind w:firstLine="420" w:firstLineChars="200"/>
        <w:rPr>
          <w:rFonts w:ascii="宋体" w:hAnsi="宋体" w:eastAsia="宋体" w:cs="宋体"/>
          <w:kern w:val="0"/>
          <w:szCs w:val="21"/>
        </w:rPr>
      </w:pPr>
      <w:r>
        <w:rPr>
          <w:rFonts w:hint="eastAsia" w:ascii="宋体" w:hAnsi="宋体" w:eastAsia="宋体" w:cs="宋体"/>
          <w:szCs w:val="21"/>
        </w:rPr>
        <w:t>1、我公司</w:t>
      </w:r>
      <w:r>
        <w:rPr>
          <w:rFonts w:hint="eastAsia" w:ascii="宋体" w:hAnsi="宋体" w:eastAsia="宋体" w:cs="宋体"/>
          <w:kern w:val="0"/>
          <w:szCs w:val="21"/>
        </w:rPr>
        <w:t>递交投标文件正本壹份、副本</w:t>
      </w:r>
      <w:r>
        <w:rPr>
          <w:rFonts w:hint="eastAsia" w:ascii="宋体" w:hAnsi="宋体" w:eastAsia="宋体" w:cs="宋体"/>
          <w:kern w:val="0"/>
          <w:szCs w:val="21"/>
          <w:lang w:val="en-US" w:eastAsia="zh-CN"/>
        </w:rPr>
        <w:t>贰</w:t>
      </w:r>
      <w:r>
        <w:rPr>
          <w:rFonts w:hint="eastAsia" w:ascii="宋体" w:hAnsi="宋体" w:eastAsia="宋体" w:cs="宋体"/>
          <w:kern w:val="0"/>
          <w:szCs w:val="21"/>
        </w:rPr>
        <w:t>份，项目</w:t>
      </w:r>
      <w:r>
        <w:rPr>
          <w:rFonts w:hint="eastAsia" w:ascii="宋体" w:hAnsi="宋体" w:eastAsia="宋体" w:cs="宋体"/>
          <w:kern w:val="0"/>
          <w:szCs w:val="21"/>
          <w:lang w:val="en-US" w:eastAsia="zh-CN"/>
        </w:rPr>
        <w:t>负责人</w:t>
      </w:r>
      <w:r>
        <w:rPr>
          <w:rFonts w:hint="eastAsia" w:ascii="宋体" w:hAnsi="宋体" w:eastAsia="宋体" w:cs="宋体"/>
          <w:kern w:val="0"/>
          <w:szCs w:val="21"/>
        </w:rPr>
        <w:t>是</w:t>
      </w:r>
      <w:r>
        <w:rPr>
          <w:rFonts w:hint="eastAsia" w:ascii="宋体" w:hAnsi="宋体" w:eastAsia="宋体" w:cs="宋体"/>
          <w:kern w:val="0"/>
          <w:szCs w:val="21"/>
          <w:u w:val="single"/>
        </w:rPr>
        <w:t xml:space="preserve"> （姓名） </w:t>
      </w:r>
      <w:r>
        <w:rPr>
          <w:rFonts w:hint="eastAsia" w:ascii="宋体" w:hAnsi="宋体" w:eastAsia="宋体" w:cs="宋体"/>
          <w:kern w:val="0"/>
          <w:szCs w:val="21"/>
        </w:rPr>
        <w:t xml:space="preserve">； </w:t>
      </w:r>
    </w:p>
    <w:p w14:paraId="4EE394B8">
      <w:pPr>
        <w:spacing w:line="360" w:lineRule="auto"/>
        <w:ind w:firstLine="420" w:firstLineChars="200"/>
        <w:rPr>
          <w:rFonts w:ascii="宋体" w:hAnsi="宋体" w:eastAsia="宋体" w:cs="宋体"/>
          <w:szCs w:val="21"/>
        </w:rPr>
      </w:pPr>
      <w:r>
        <w:rPr>
          <w:rFonts w:hint="eastAsia" w:ascii="宋体" w:hAnsi="宋体" w:eastAsia="宋体" w:cs="宋体"/>
          <w:szCs w:val="21"/>
        </w:rPr>
        <w:t>2、我方已详细审查全部竞争性磋商文件，我们完全理解并同意放弃对这方面有不明及误解的权利。</w:t>
      </w:r>
    </w:p>
    <w:p w14:paraId="4D498201">
      <w:pPr>
        <w:spacing w:line="360" w:lineRule="auto"/>
        <w:rPr>
          <w:rFonts w:ascii="宋体" w:hAnsi="宋体" w:eastAsia="宋体" w:cs="宋体"/>
          <w:szCs w:val="21"/>
        </w:rPr>
      </w:pPr>
      <w:r>
        <w:rPr>
          <w:rFonts w:hint="eastAsia" w:ascii="宋体" w:hAnsi="宋体" w:eastAsia="宋体" w:cs="宋体"/>
          <w:szCs w:val="21"/>
        </w:rPr>
        <w:t xml:space="preserve">    3、我方将按招标文件规定履行合同责任和义务。</w:t>
      </w:r>
    </w:p>
    <w:p w14:paraId="4C4C4D02">
      <w:pPr>
        <w:spacing w:line="360" w:lineRule="auto"/>
        <w:rPr>
          <w:rFonts w:ascii="宋体" w:hAnsi="宋体" w:eastAsia="宋体" w:cs="宋体"/>
          <w:szCs w:val="21"/>
        </w:rPr>
      </w:pPr>
      <w:r>
        <w:rPr>
          <w:rFonts w:hint="eastAsia" w:ascii="宋体" w:hAnsi="宋体" w:eastAsia="宋体" w:cs="宋体"/>
          <w:szCs w:val="21"/>
        </w:rPr>
        <w:t xml:space="preserve">    4、本投标文件自递交贵方之日起</w:t>
      </w:r>
      <w:r>
        <w:rPr>
          <w:rFonts w:hint="eastAsia" w:ascii="宋体" w:hAnsi="宋体" w:eastAsia="宋体" w:cs="宋体"/>
          <w:szCs w:val="21"/>
          <w:u w:val="single"/>
          <w:lang w:val="en-US" w:eastAsia="zh-CN"/>
        </w:rPr>
        <w:t xml:space="preserve">     </w:t>
      </w:r>
      <w:r>
        <w:rPr>
          <w:rFonts w:hint="eastAsia" w:ascii="宋体" w:hAnsi="宋体" w:eastAsia="宋体" w:cs="宋体"/>
          <w:szCs w:val="21"/>
        </w:rPr>
        <w:t>内天有效，在此有效期内，全部条款内容对我公司具有约束力。</w:t>
      </w:r>
    </w:p>
    <w:p w14:paraId="38702DB2">
      <w:pPr>
        <w:spacing w:line="360" w:lineRule="auto"/>
        <w:rPr>
          <w:rFonts w:ascii="宋体" w:hAnsi="宋体" w:eastAsia="宋体" w:cs="宋体"/>
          <w:szCs w:val="21"/>
        </w:rPr>
      </w:pPr>
      <w:r>
        <w:rPr>
          <w:rFonts w:hint="eastAsia" w:ascii="宋体" w:hAnsi="宋体" w:eastAsia="宋体" w:cs="宋体"/>
          <w:szCs w:val="21"/>
        </w:rPr>
        <w:t xml:space="preserve">    5、如果在规定的开标时间后，我方在投标有效期内撤回投标，或中标后放弃中标，拒签协议的，其投标保证金将被贵方没收。</w:t>
      </w:r>
    </w:p>
    <w:p w14:paraId="6E8B856F">
      <w:pPr>
        <w:spacing w:line="360" w:lineRule="auto"/>
        <w:rPr>
          <w:rFonts w:ascii="宋体" w:hAnsi="宋体" w:eastAsia="宋体" w:cs="宋体"/>
          <w:szCs w:val="21"/>
        </w:rPr>
      </w:pPr>
      <w:r>
        <w:rPr>
          <w:rFonts w:hint="eastAsia" w:ascii="宋体" w:hAnsi="宋体" w:eastAsia="宋体" w:cs="宋体"/>
          <w:szCs w:val="21"/>
        </w:rPr>
        <w:t xml:space="preserve">    6、我方同意提供按照贵方可能要求的与其投标有关的一切数据或资料，理解贵方不一定要接受最低价的投标或收到任何投标。</w:t>
      </w:r>
    </w:p>
    <w:p w14:paraId="5E8AA350">
      <w:pPr>
        <w:spacing w:line="360" w:lineRule="auto"/>
        <w:ind w:firstLine="480"/>
        <w:rPr>
          <w:rFonts w:ascii="宋体" w:hAnsi="宋体" w:eastAsia="宋体" w:cs="宋体"/>
          <w:szCs w:val="21"/>
        </w:rPr>
      </w:pPr>
    </w:p>
    <w:p w14:paraId="41C5A8FC">
      <w:pPr>
        <w:spacing w:line="360" w:lineRule="auto"/>
        <w:rPr>
          <w:rFonts w:ascii="宋体" w:hAnsi="宋体" w:eastAsia="宋体" w:cs="宋体"/>
          <w:szCs w:val="21"/>
        </w:rPr>
      </w:pPr>
    </w:p>
    <w:p w14:paraId="3A148F1A">
      <w:pPr>
        <w:spacing w:line="360" w:lineRule="auto"/>
        <w:rPr>
          <w:rFonts w:ascii="宋体" w:hAnsi="宋体" w:eastAsia="宋体" w:cs="宋体"/>
          <w:szCs w:val="21"/>
        </w:rPr>
      </w:pPr>
    </w:p>
    <w:p w14:paraId="1BEC946E">
      <w:pPr>
        <w:spacing w:line="360" w:lineRule="auto"/>
        <w:rPr>
          <w:rFonts w:ascii="宋体" w:hAnsi="宋体" w:eastAsia="宋体" w:cs="宋体"/>
          <w:szCs w:val="21"/>
        </w:rPr>
      </w:pPr>
    </w:p>
    <w:p w14:paraId="54C57B18">
      <w:pPr>
        <w:spacing w:line="360" w:lineRule="auto"/>
        <w:rPr>
          <w:rFonts w:hint="default" w:ascii="宋体" w:hAnsi="宋体" w:eastAsia="宋体" w:cs="宋体"/>
          <w:szCs w:val="21"/>
          <w:u w:val="single"/>
          <w:lang w:val="en-US" w:eastAsia="zh-CN"/>
        </w:rPr>
      </w:pPr>
      <w:r>
        <w:rPr>
          <w:rFonts w:hint="eastAsia" w:ascii="宋体" w:hAnsi="宋体" w:eastAsia="宋体" w:cs="宋体"/>
          <w:szCs w:val="21"/>
        </w:rPr>
        <w:t>投标人：（盖章）</w:t>
      </w:r>
      <w:r>
        <w:rPr>
          <w:rFonts w:hint="eastAsia" w:ascii="宋体" w:hAnsi="宋体" w:eastAsia="宋体" w:cs="宋体"/>
          <w:szCs w:val="21"/>
          <w:u w:val="single"/>
          <w:lang w:val="en-US" w:eastAsia="zh-CN"/>
        </w:rPr>
        <w:t xml:space="preserve">                 </w:t>
      </w:r>
    </w:p>
    <w:p w14:paraId="2065983E">
      <w:pPr>
        <w:spacing w:line="360" w:lineRule="auto"/>
        <w:rPr>
          <w:rFonts w:ascii="宋体" w:hAnsi="宋体" w:eastAsia="宋体" w:cs="宋体"/>
          <w:szCs w:val="21"/>
        </w:rPr>
      </w:pPr>
    </w:p>
    <w:p w14:paraId="03F2376F">
      <w:pPr>
        <w:spacing w:line="360" w:lineRule="auto"/>
        <w:rPr>
          <w:rFonts w:hint="default" w:ascii="宋体" w:hAnsi="宋体" w:eastAsia="宋体" w:cs="宋体"/>
          <w:szCs w:val="21"/>
          <w:u w:val="single"/>
          <w:lang w:val="en-US" w:eastAsia="zh-CN"/>
        </w:rPr>
      </w:pPr>
      <w:r>
        <w:rPr>
          <w:rFonts w:hint="eastAsia" w:ascii="宋体" w:hAnsi="宋体" w:eastAsia="宋体" w:cs="宋体"/>
          <w:szCs w:val="21"/>
        </w:rPr>
        <w:t>法定代表人或授权委托代理人：（签字或盖章）</w:t>
      </w:r>
      <w:r>
        <w:rPr>
          <w:rFonts w:hint="eastAsia" w:ascii="宋体" w:hAnsi="宋体" w:eastAsia="宋体" w:cs="宋体"/>
          <w:szCs w:val="21"/>
          <w:u w:val="single"/>
          <w:lang w:val="en-US" w:eastAsia="zh-CN"/>
        </w:rPr>
        <w:t xml:space="preserve">              </w:t>
      </w:r>
    </w:p>
    <w:p w14:paraId="64198061">
      <w:pPr>
        <w:spacing w:line="360" w:lineRule="auto"/>
        <w:rPr>
          <w:rFonts w:ascii="宋体" w:hAnsi="宋体" w:eastAsia="宋体" w:cs="宋体"/>
          <w:szCs w:val="21"/>
        </w:rPr>
      </w:pPr>
    </w:p>
    <w:p w14:paraId="21F10602">
      <w:pPr>
        <w:spacing w:line="360" w:lineRule="auto"/>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lang w:val="en-US" w:eastAsia="zh-CN"/>
        </w:rPr>
        <w:t xml:space="preserve">      </w:t>
      </w:r>
      <w:r>
        <w:rPr>
          <w:rFonts w:hint="eastAsia" w:ascii="宋体" w:hAnsi="宋体" w:eastAsia="宋体" w:cs="宋体"/>
          <w:szCs w:val="21"/>
        </w:rPr>
        <w:t>年</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lang w:val="en-US" w:eastAsia="zh-CN"/>
        </w:rPr>
        <w:t xml:space="preserve">     </w:t>
      </w:r>
      <w:r>
        <w:rPr>
          <w:rFonts w:hint="eastAsia" w:ascii="宋体" w:hAnsi="宋体" w:eastAsia="宋体" w:cs="宋体"/>
          <w:szCs w:val="21"/>
        </w:rPr>
        <w:t>日</w:t>
      </w:r>
    </w:p>
    <w:p w14:paraId="2231CB2C">
      <w:pPr>
        <w:pStyle w:val="3"/>
        <w:spacing w:before="156" w:line="460" w:lineRule="exact"/>
        <w:jc w:val="both"/>
        <w:outlineLvl w:val="9"/>
        <w:rPr>
          <w:rFonts w:ascii="宋体" w:hAnsi="宋体" w:eastAsia="宋体" w:cs="宋体"/>
          <w:sz w:val="21"/>
          <w:szCs w:val="21"/>
        </w:rPr>
      </w:pPr>
    </w:p>
    <w:p w14:paraId="1E63B330">
      <w:pPr>
        <w:rPr>
          <w:rFonts w:cs="宋体"/>
          <w:sz w:val="24"/>
        </w:rPr>
      </w:pPr>
    </w:p>
    <w:p w14:paraId="1742EDAE">
      <w:pPr>
        <w:pStyle w:val="3"/>
        <w:spacing w:before="156"/>
        <w:outlineLvl w:val="9"/>
        <w:rPr>
          <w:rFonts w:cs="宋体"/>
        </w:rPr>
      </w:pPr>
    </w:p>
    <w:p w14:paraId="05EE54AE">
      <w:pPr>
        <w:rPr>
          <w:rFonts w:cs="宋体"/>
          <w:sz w:val="24"/>
        </w:rPr>
      </w:pPr>
    </w:p>
    <w:p w14:paraId="21161A2B">
      <w:pPr>
        <w:rPr>
          <w:rFonts w:cs="宋体"/>
          <w:sz w:val="24"/>
        </w:rPr>
      </w:pPr>
    </w:p>
    <w:p w14:paraId="37F5C21A">
      <w:pPr>
        <w:rPr>
          <w:rFonts w:cs="宋体"/>
          <w:sz w:val="24"/>
        </w:rPr>
      </w:pPr>
    </w:p>
    <w:p w14:paraId="6C6EB124">
      <w:pPr>
        <w:rPr>
          <w:rFonts w:cs="宋体"/>
          <w:sz w:val="24"/>
        </w:rPr>
      </w:pPr>
    </w:p>
    <w:p w14:paraId="0276EF17">
      <w:pPr>
        <w:spacing w:beforeLines="100" w:line="360" w:lineRule="auto"/>
        <w:jc w:val="center"/>
        <w:outlineLvl w:val="1"/>
        <w:rPr>
          <w:rFonts w:hint="eastAsia" w:ascii="宋体" w:hAnsi="宋体" w:cs="宋体"/>
          <w:b/>
          <w:bCs/>
          <w:sz w:val="32"/>
          <w:szCs w:val="32"/>
          <w:highlight w:val="none"/>
          <w:lang w:eastAsia="zh-CN"/>
        </w:rPr>
      </w:pPr>
      <w:bookmarkStart w:id="121" w:name="_Toc16202"/>
      <w:bookmarkStart w:id="122" w:name="_Toc8408"/>
      <w:r>
        <w:rPr>
          <w:rFonts w:hint="eastAsia" w:ascii="宋体" w:hAnsi="宋体" w:cs="宋体"/>
          <w:b/>
          <w:bCs/>
          <w:sz w:val="32"/>
          <w:szCs w:val="32"/>
          <w:highlight w:val="none"/>
          <w:lang w:eastAsia="zh-CN"/>
        </w:rPr>
        <w:t>二、报价</w:t>
      </w:r>
      <w:bookmarkEnd w:id="121"/>
      <w:bookmarkEnd w:id="122"/>
      <w:r>
        <w:rPr>
          <w:rFonts w:hint="eastAsia" w:ascii="宋体" w:hAnsi="宋体" w:cs="宋体"/>
          <w:b/>
          <w:bCs/>
          <w:sz w:val="32"/>
          <w:szCs w:val="32"/>
          <w:highlight w:val="none"/>
          <w:lang w:eastAsia="zh-CN"/>
        </w:rPr>
        <w:t>部分</w:t>
      </w:r>
    </w:p>
    <w:p w14:paraId="69D4D6E3">
      <w:pPr>
        <w:autoSpaceDE w:val="0"/>
        <w:autoSpaceDN w:val="0"/>
        <w:adjustRightInd w:val="0"/>
        <w:snapToGrid w:val="0"/>
        <w:spacing w:line="360" w:lineRule="exact"/>
        <w:jc w:val="center"/>
        <w:rPr>
          <w:rFonts w:hint="eastAsia" w:ascii="宋体" w:hAnsi="宋体" w:eastAsia="宋体" w:cs="宋体"/>
          <w:bCs/>
          <w:kern w:val="0"/>
          <w:sz w:val="22"/>
          <w:highlight w:val="none"/>
        </w:rPr>
      </w:pPr>
      <w:r>
        <w:rPr>
          <w:rFonts w:hint="eastAsia" w:ascii="宋体" w:hAnsi="宋体" w:eastAsia="宋体" w:cs="宋体"/>
          <w:bCs/>
          <w:kern w:val="0"/>
          <w:sz w:val="28"/>
          <w:szCs w:val="28"/>
          <w:highlight w:val="none"/>
        </w:rPr>
        <w:sym w:font="Wingdings" w:char="00A8"/>
      </w:r>
      <w:r>
        <w:rPr>
          <w:rFonts w:hint="eastAsia" w:ascii="宋体" w:hAnsi="宋体" w:eastAsia="宋体" w:cs="宋体"/>
          <w:bCs/>
          <w:kern w:val="0"/>
          <w:sz w:val="22"/>
          <w:highlight w:val="none"/>
        </w:rPr>
        <w:t>首次报价/</w:t>
      </w:r>
      <w:r>
        <w:rPr>
          <w:rFonts w:hint="eastAsia" w:ascii="宋体" w:hAnsi="宋体" w:eastAsia="宋体" w:cs="宋体"/>
          <w:bCs/>
          <w:kern w:val="0"/>
          <w:sz w:val="28"/>
          <w:szCs w:val="28"/>
          <w:highlight w:val="none"/>
        </w:rPr>
        <w:sym w:font="Wingdings" w:char="00A8"/>
      </w:r>
      <w:r>
        <w:rPr>
          <w:rFonts w:hint="eastAsia" w:ascii="宋体" w:hAnsi="宋体" w:eastAsia="宋体" w:cs="宋体"/>
          <w:bCs/>
          <w:kern w:val="0"/>
          <w:sz w:val="22"/>
          <w:highlight w:val="none"/>
        </w:rPr>
        <w:t>最后报价</w:t>
      </w:r>
    </w:p>
    <w:p w14:paraId="3E71994C">
      <w:pPr>
        <w:pStyle w:val="4"/>
        <w:numPr>
          <w:ilvl w:val="0"/>
          <w:numId w:val="8"/>
        </w:numPr>
        <w:rPr>
          <w:rFonts w:hint="eastAsia" w:ascii="宋体" w:hAnsi="宋体" w:eastAsia="宋体" w:cs="宋体"/>
          <w:sz w:val="24"/>
          <w:highlight w:val="none"/>
        </w:rPr>
      </w:pPr>
      <w:bookmarkStart w:id="123" w:name="_Toc163493650"/>
      <w:r>
        <w:rPr>
          <w:rFonts w:hint="eastAsia"/>
          <w:highlight w:val="none"/>
        </w:rPr>
        <w:t>报价一览表</w:t>
      </w:r>
      <w:bookmarkEnd w:id="123"/>
    </w:p>
    <w:p w14:paraId="24361AF0">
      <w:pPr>
        <w:spacing w:line="300" w:lineRule="auto"/>
        <w:rPr>
          <w:rFonts w:ascii="Arial" w:hAnsi="Arial" w:cs="Arial"/>
          <w:szCs w:val="21"/>
        </w:rPr>
      </w:pPr>
      <w:bookmarkStart w:id="124" w:name="_Toc2170"/>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 xml:space="preserve">      </w:t>
      </w:r>
    </w:p>
    <w:p w14:paraId="64DB4F60">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p>
    <w:p w14:paraId="74ED1007">
      <w:pPr>
        <w:spacing w:line="300" w:lineRule="auto"/>
        <w:jc w:val="right"/>
        <w:rPr>
          <w:rFonts w:ascii="Arial" w:hAnsi="Arial" w:cs="Arial"/>
          <w:szCs w:val="21"/>
        </w:rPr>
      </w:pPr>
      <w:r>
        <w:rPr>
          <w:rFonts w:ascii="Arial" w:hAnsi="Arial" w:cs="Arial"/>
          <w:szCs w:val="21"/>
        </w:rPr>
        <w:t>货币单位：人民币</w:t>
      </w:r>
    </w:p>
    <w:tbl>
      <w:tblPr>
        <w:tblStyle w:val="23"/>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3781"/>
        <w:gridCol w:w="1907"/>
        <w:gridCol w:w="2051"/>
      </w:tblGrid>
      <w:tr w14:paraId="6CC8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398" w:type="dxa"/>
            <w:vAlign w:val="center"/>
          </w:tcPr>
          <w:p w14:paraId="19799652">
            <w:pPr>
              <w:pStyle w:val="53"/>
              <w:ind w:firstLine="482"/>
              <w:jc w:val="center"/>
              <w:rPr>
                <w:b/>
                <w:bCs/>
              </w:rPr>
            </w:pPr>
            <w:r>
              <w:rPr>
                <w:b/>
                <w:bCs/>
              </w:rPr>
              <w:t>序号</w:t>
            </w:r>
          </w:p>
        </w:tc>
        <w:tc>
          <w:tcPr>
            <w:tcW w:w="3781" w:type="dxa"/>
            <w:vAlign w:val="center"/>
          </w:tcPr>
          <w:p w14:paraId="7F3295C5">
            <w:pPr>
              <w:pStyle w:val="53"/>
              <w:ind w:firstLine="482"/>
              <w:jc w:val="center"/>
              <w:rPr>
                <w:rFonts w:hint="eastAsia" w:eastAsia="宋体"/>
                <w:b/>
                <w:bCs/>
                <w:lang w:eastAsia="zh-CN"/>
              </w:rPr>
            </w:pPr>
            <w:r>
              <w:rPr>
                <w:rFonts w:hint="eastAsia"/>
                <w:b/>
                <w:bCs/>
              </w:rPr>
              <w:t>磋商报价</w:t>
            </w:r>
            <w:r>
              <w:rPr>
                <w:rFonts w:hint="eastAsia"/>
                <w:b/>
                <w:bCs/>
                <w:lang w:eastAsia="zh-CN"/>
              </w:rPr>
              <w:t>（</w:t>
            </w:r>
            <w:r>
              <w:rPr>
                <w:rFonts w:hint="eastAsia"/>
                <w:b/>
                <w:bCs/>
                <w:lang w:val="en-US" w:eastAsia="zh-CN"/>
              </w:rPr>
              <w:t>折扣率</w:t>
            </w:r>
            <w:r>
              <w:rPr>
                <w:rFonts w:hint="eastAsia"/>
                <w:b/>
                <w:bCs/>
                <w:lang w:eastAsia="zh-CN"/>
              </w:rPr>
              <w:t>）</w:t>
            </w:r>
          </w:p>
        </w:tc>
        <w:tc>
          <w:tcPr>
            <w:tcW w:w="1907" w:type="dxa"/>
            <w:vAlign w:val="center"/>
          </w:tcPr>
          <w:p w14:paraId="7E2FD976">
            <w:pPr>
              <w:pStyle w:val="53"/>
              <w:ind w:firstLine="482"/>
              <w:jc w:val="center"/>
              <w:rPr>
                <w:b/>
                <w:bCs/>
              </w:rPr>
            </w:pPr>
            <w:r>
              <w:rPr>
                <w:rFonts w:hint="eastAsia"/>
                <w:b/>
                <w:bCs/>
              </w:rPr>
              <w:t>服务期</w:t>
            </w:r>
          </w:p>
        </w:tc>
        <w:tc>
          <w:tcPr>
            <w:tcW w:w="2051" w:type="dxa"/>
            <w:vAlign w:val="center"/>
          </w:tcPr>
          <w:p w14:paraId="4AAA4426">
            <w:pPr>
              <w:pStyle w:val="53"/>
              <w:ind w:firstLine="482"/>
              <w:jc w:val="center"/>
              <w:rPr>
                <w:b/>
                <w:bCs/>
              </w:rPr>
            </w:pPr>
            <w:r>
              <w:rPr>
                <w:rFonts w:hint="eastAsia"/>
                <w:b/>
                <w:bCs/>
              </w:rPr>
              <w:t>备注</w:t>
            </w:r>
          </w:p>
        </w:tc>
      </w:tr>
      <w:tr w14:paraId="52BF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398" w:type="dxa"/>
            <w:vAlign w:val="center"/>
          </w:tcPr>
          <w:p w14:paraId="3F82CAF6">
            <w:pPr>
              <w:pStyle w:val="53"/>
              <w:ind w:firstLine="480"/>
            </w:pPr>
          </w:p>
        </w:tc>
        <w:tc>
          <w:tcPr>
            <w:tcW w:w="3781" w:type="dxa"/>
            <w:vAlign w:val="center"/>
          </w:tcPr>
          <w:p w14:paraId="3B69D674">
            <w:pPr>
              <w:pStyle w:val="53"/>
              <w:ind w:firstLine="480"/>
            </w:pPr>
          </w:p>
        </w:tc>
        <w:tc>
          <w:tcPr>
            <w:tcW w:w="1907" w:type="dxa"/>
            <w:vAlign w:val="center"/>
          </w:tcPr>
          <w:p w14:paraId="3ECE3CF3">
            <w:pPr>
              <w:pStyle w:val="53"/>
              <w:ind w:firstLine="480"/>
            </w:pPr>
          </w:p>
        </w:tc>
        <w:tc>
          <w:tcPr>
            <w:tcW w:w="2051" w:type="dxa"/>
            <w:vAlign w:val="center"/>
          </w:tcPr>
          <w:p w14:paraId="05C2CDB9">
            <w:pPr>
              <w:pStyle w:val="53"/>
              <w:ind w:firstLine="480"/>
            </w:pPr>
          </w:p>
        </w:tc>
      </w:tr>
    </w:tbl>
    <w:p w14:paraId="684CD607">
      <w:pPr>
        <w:spacing w:line="300" w:lineRule="auto"/>
        <w:rPr>
          <w:rFonts w:ascii="Arial" w:hAnsi="Arial" w:cs="Arial"/>
          <w:szCs w:val="21"/>
          <w:u w:val="single"/>
        </w:rPr>
      </w:pPr>
    </w:p>
    <w:p w14:paraId="0E9FBB72">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14:paraId="4343F743">
      <w:pPr>
        <w:spacing w:line="300" w:lineRule="auto"/>
        <w:rPr>
          <w:rFonts w:ascii="Arial" w:hAnsi="Arial" w:cs="Arial"/>
          <w:szCs w:val="21"/>
        </w:rPr>
      </w:pP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w:t>
      </w:r>
    </w:p>
    <w:p w14:paraId="77CF7EFA">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14:paraId="522A8827">
      <w:pPr>
        <w:tabs>
          <w:tab w:val="left" w:pos="3533"/>
        </w:tabs>
        <w:spacing w:line="300" w:lineRule="auto"/>
      </w:pPr>
    </w:p>
    <w:p w14:paraId="11C2C211">
      <w:pPr>
        <w:spacing w:line="360" w:lineRule="auto"/>
        <w:jc w:val="center"/>
        <w:outlineLvl w:val="1"/>
        <w:rPr>
          <w:rFonts w:hint="eastAsia" w:ascii="宋体" w:hAnsi="宋体" w:cs="宋体"/>
          <w:b/>
          <w:sz w:val="32"/>
          <w:szCs w:val="32"/>
        </w:rPr>
      </w:pPr>
    </w:p>
    <w:p w14:paraId="446F4B46">
      <w:pPr>
        <w:spacing w:line="360" w:lineRule="auto"/>
        <w:jc w:val="center"/>
        <w:outlineLvl w:val="1"/>
        <w:rPr>
          <w:rFonts w:hint="eastAsia" w:ascii="宋体" w:hAnsi="宋体" w:cs="宋体"/>
          <w:b/>
          <w:sz w:val="32"/>
          <w:szCs w:val="32"/>
        </w:rPr>
      </w:pPr>
    </w:p>
    <w:p w14:paraId="724CC56B">
      <w:pPr>
        <w:spacing w:line="360" w:lineRule="auto"/>
        <w:jc w:val="center"/>
        <w:outlineLvl w:val="1"/>
        <w:rPr>
          <w:rFonts w:hint="eastAsia" w:ascii="宋体" w:hAnsi="宋体" w:cs="宋体"/>
          <w:b/>
          <w:sz w:val="32"/>
          <w:szCs w:val="32"/>
        </w:rPr>
      </w:pPr>
    </w:p>
    <w:p w14:paraId="7EFEBA6F">
      <w:pPr>
        <w:spacing w:line="360" w:lineRule="auto"/>
        <w:jc w:val="center"/>
        <w:outlineLvl w:val="1"/>
        <w:rPr>
          <w:rFonts w:hint="eastAsia" w:ascii="宋体" w:hAnsi="宋体" w:cs="宋体"/>
          <w:b/>
          <w:sz w:val="32"/>
          <w:szCs w:val="32"/>
        </w:rPr>
      </w:pPr>
    </w:p>
    <w:p w14:paraId="751A25B0">
      <w:pPr>
        <w:spacing w:line="360" w:lineRule="auto"/>
        <w:jc w:val="center"/>
        <w:outlineLvl w:val="1"/>
        <w:rPr>
          <w:rFonts w:hint="eastAsia" w:ascii="宋体" w:hAnsi="宋体" w:cs="宋体"/>
          <w:b/>
          <w:sz w:val="32"/>
          <w:szCs w:val="32"/>
        </w:rPr>
      </w:pPr>
    </w:p>
    <w:p w14:paraId="0AE074ED">
      <w:pPr>
        <w:spacing w:line="360" w:lineRule="auto"/>
        <w:jc w:val="center"/>
        <w:outlineLvl w:val="1"/>
        <w:rPr>
          <w:rFonts w:hint="eastAsia" w:ascii="宋体" w:hAnsi="宋体" w:cs="宋体"/>
          <w:b/>
          <w:sz w:val="32"/>
          <w:szCs w:val="32"/>
        </w:rPr>
      </w:pPr>
    </w:p>
    <w:p w14:paraId="7435ED40">
      <w:pPr>
        <w:spacing w:line="360" w:lineRule="auto"/>
        <w:jc w:val="center"/>
        <w:outlineLvl w:val="1"/>
        <w:rPr>
          <w:rFonts w:hint="eastAsia" w:ascii="宋体" w:hAnsi="宋体" w:cs="宋体"/>
          <w:b/>
          <w:sz w:val="32"/>
          <w:szCs w:val="32"/>
        </w:rPr>
      </w:pPr>
    </w:p>
    <w:p w14:paraId="099C4FCB">
      <w:pPr>
        <w:spacing w:line="360" w:lineRule="auto"/>
        <w:jc w:val="center"/>
        <w:outlineLvl w:val="1"/>
        <w:rPr>
          <w:rFonts w:hint="eastAsia" w:ascii="宋体" w:hAnsi="宋体" w:cs="宋体"/>
          <w:b/>
          <w:sz w:val="32"/>
          <w:szCs w:val="32"/>
        </w:rPr>
      </w:pPr>
    </w:p>
    <w:p w14:paraId="67A8CB08">
      <w:pPr>
        <w:spacing w:line="360" w:lineRule="auto"/>
        <w:jc w:val="center"/>
        <w:outlineLvl w:val="1"/>
        <w:rPr>
          <w:rFonts w:hint="eastAsia" w:ascii="宋体" w:hAnsi="宋体" w:cs="宋体"/>
          <w:b/>
          <w:sz w:val="32"/>
          <w:szCs w:val="32"/>
        </w:rPr>
      </w:pPr>
    </w:p>
    <w:p w14:paraId="7B5EE4C9">
      <w:pPr>
        <w:spacing w:line="360" w:lineRule="auto"/>
        <w:jc w:val="center"/>
        <w:outlineLvl w:val="1"/>
        <w:rPr>
          <w:rFonts w:hint="eastAsia" w:ascii="宋体" w:hAnsi="宋体" w:cs="宋体"/>
          <w:b/>
          <w:sz w:val="32"/>
          <w:szCs w:val="32"/>
        </w:rPr>
      </w:pPr>
    </w:p>
    <w:p w14:paraId="230B7106">
      <w:pPr>
        <w:spacing w:line="360" w:lineRule="auto"/>
        <w:jc w:val="center"/>
        <w:outlineLvl w:val="1"/>
        <w:rPr>
          <w:rFonts w:hint="eastAsia" w:ascii="宋体" w:hAnsi="宋体" w:cs="宋体"/>
          <w:b/>
          <w:sz w:val="32"/>
          <w:szCs w:val="32"/>
        </w:rPr>
      </w:pPr>
    </w:p>
    <w:p w14:paraId="424462F4">
      <w:pPr>
        <w:pStyle w:val="4"/>
        <w:numPr>
          <w:ilvl w:val="0"/>
          <w:numId w:val="8"/>
        </w:numPr>
        <w:rPr>
          <w:rFonts w:cs="Arial"/>
          <w:szCs w:val="24"/>
        </w:rPr>
      </w:pPr>
      <w:bookmarkStart w:id="125" w:name="_Toc156490359"/>
      <w:bookmarkStart w:id="126" w:name="_Toc163493651"/>
      <w:r>
        <w:rPr>
          <w:rFonts w:hint="eastAsia"/>
        </w:rPr>
        <w:t>分项报价表</w:t>
      </w:r>
      <w:bookmarkEnd w:id="125"/>
      <w:bookmarkEnd w:id="126"/>
    </w:p>
    <w:p w14:paraId="700D9345">
      <w:pPr>
        <w:spacing w:line="300" w:lineRule="auto"/>
        <w:rPr>
          <w:rFonts w:cs="仿宋_GB2312"/>
          <w:szCs w:val="24"/>
        </w:rPr>
      </w:pPr>
      <w:r>
        <w:rPr>
          <w:rFonts w:hint="eastAsia" w:cs="仿宋_GB2312"/>
          <w:szCs w:val="24"/>
        </w:rPr>
        <w:t>【适用于服务】</w:t>
      </w:r>
    </w:p>
    <w:p w14:paraId="4A320410">
      <w:pPr>
        <w:rPr>
          <w:b/>
          <w:szCs w:val="21"/>
          <w:lang w:val="zh-CN"/>
        </w:rPr>
      </w:pPr>
      <w:r>
        <w:rPr>
          <w:rFonts w:hint="eastAsia"/>
          <w:b/>
          <w:szCs w:val="21"/>
          <w:lang w:val="zh-CN"/>
        </w:rPr>
        <w:t>项目名称：</w:t>
      </w:r>
      <w:r>
        <w:rPr>
          <w:rFonts w:hint="eastAsia"/>
          <w:b/>
          <w:szCs w:val="21"/>
          <w:u w:val="single"/>
          <w:lang w:val="zh-CN"/>
        </w:rPr>
        <w:t xml:space="preserve">                     </w:t>
      </w:r>
    </w:p>
    <w:p w14:paraId="005916CB">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Style w:val="2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2E53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945796D">
            <w:pPr>
              <w:pStyle w:val="53"/>
              <w:jc w:val="center"/>
            </w:pPr>
            <w:r>
              <w:rPr>
                <w:rFonts w:hint="eastAsia"/>
              </w:rPr>
              <w:t>序号</w:t>
            </w:r>
          </w:p>
        </w:tc>
        <w:tc>
          <w:tcPr>
            <w:tcW w:w="3720" w:type="dxa"/>
            <w:vAlign w:val="center"/>
          </w:tcPr>
          <w:p w14:paraId="58D717B8">
            <w:pPr>
              <w:pStyle w:val="53"/>
              <w:jc w:val="center"/>
            </w:pPr>
            <w:r>
              <w:rPr>
                <w:rFonts w:hint="eastAsia"/>
              </w:rPr>
              <w:t>标的名称</w:t>
            </w:r>
          </w:p>
        </w:tc>
        <w:tc>
          <w:tcPr>
            <w:tcW w:w="1065" w:type="dxa"/>
            <w:vAlign w:val="center"/>
          </w:tcPr>
          <w:p w14:paraId="5644F8A3">
            <w:pPr>
              <w:pStyle w:val="53"/>
              <w:jc w:val="center"/>
            </w:pPr>
            <w:r>
              <w:rPr>
                <w:rFonts w:hint="eastAsia"/>
              </w:rPr>
              <w:t>数量</w:t>
            </w:r>
          </w:p>
        </w:tc>
        <w:tc>
          <w:tcPr>
            <w:tcW w:w="1065" w:type="dxa"/>
            <w:vAlign w:val="center"/>
          </w:tcPr>
          <w:p w14:paraId="7A69EE35">
            <w:pPr>
              <w:pStyle w:val="53"/>
              <w:jc w:val="center"/>
            </w:pPr>
            <w:r>
              <w:rPr>
                <w:rFonts w:hint="eastAsia"/>
              </w:rPr>
              <w:t>单价</w:t>
            </w:r>
          </w:p>
        </w:tc>
        <w:tc>
          <w:tcPr>
            <w:tcW w:w="1066" w:type="dxa"/>
            <w:vAlign w:val="center"/>
          </w:tcPr>
          <w:p w14:paraId="1C585A42">
            <w:pPr>
              <w:pStyle w:val="53"/>
              <w:jc w:val="center"/>
            </w:pPr>
            <w:r>
              <w:rPr>
                <w:rFonts w:hint="eastAsia"/>
              </w:rPr>
              <w:t>总价</w:t>
            </w:r>
          </w:p>
        </w:tc>
        <w:tc>
          <w:tcPr>
            <w:tcW w:w="947" w:type="dxa"/>
            <w:vAlign w:val="center"/>
          </w:tcPr>
          <w:p w14:paraId="16BF57C7">
            <w:pPr>
              <w:pStyle w:val="53"/>
              <w:jc w:val="center"/>
            </w:pPr>
            <w:r>
              <w:rPr>
                <w:rFonts w:hint="eastAsia"/>
              </w:rPr>
              <w:t>备注</w:t>
            </w:r>
          </w:p>
        </w:tc>
      </w:tr>
      <w:tr w14:paraId="11C6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A1A4576">
            <w:pPr>
              <w:pStyle w:val="53"/>
              <w:jc w:val="center"/>
            </w:pPr>
            <w:r>
              <w:rPr>
                <w:rFonts w:hint="eastAsia"/>
              </w:rPr>
              <w:t>1</w:t>
            </w:r>
          </w:p>
        </w:tc>
        <w:tc>
          <w:tcPr>
            <w:tcW w:w="3720" w:type="dxa"/>
            <w:vAlign w:val="center"/>
          </w:tcPr>
          <w:p w14:paraId="45C011EB">
            <w:pPr>
              <w:pStyle w:val="53"/>
            </w:pPr>
          </w:p>
        </w:tc>
        <w:tc>
          <w:tcPr>
            <w:tcW w:w="1065" w:type="dxa"/>
            <w:vAlign w:val="center"/>
          </w:tcPr>
          <w:p w14:paraId="64257FC7">
            <w:pPr>
              <w:pStyle w:val="53"/>
            </w:pPr>
          </w:p>
        </w:tc>
        <w:tc>
          <w:tcPr>
            <w:tcW w:w="1065" w:type="dxa"/>
            <w:vAlign w:val="center"/>
          </w:tcPr>
          <w:p w14:paraId="14375806">
            <w:pPr>
              <w:pStyle w:val="53"/>
            </w:pPr>
          </w:p>
        </w:tc>
        <w:tc>
          <w:tcPr>
            <w:tcW w:w="1066" w:type="dxa"/>
            <w:vAlign w:val="center"/>
          </w:tcPr>
          <w:p w14:paraId="7427FA74">
            <w:pPr>
              <w:pStyle w:val="53"/>
            </w:pPr>
          </w:p>
        </w:tc>
        <w:tc>
          <w:tcPr>
            <w:tcW w:w="947" w:type="dxa"/>
            <w:vAlign w:val="center"/>
          </w:tcPr>
          <w:p w14:paraId="0E797889">
            <w:pPr>
              <w:pStyle w:val="53"/>
            </w:pPr>
          </w:p>
        </w:tc>
      </w:tr>
      <w:tr w14:paraId="5A12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A1F3C4C">
            <w:pPr>
              <w:pStyle w:val="53"/>
              <w:jc w:val="center"/>
            </w:pPr>
            <w:r>
              <w:rPr>
                <w:rFonts w:hint="eastAsia"/>
              </w:rPr>
              <w:t>2</w:t>
            </w:r>
          </w:p>
        </w:tc>
        <w:tc>
          <w:tcPr>
            <w:tcW w:w="3720" w:type="dxa"/>
            <w:vAlign w:val="center"/>
          </w:tcPr>
          <w:p w14:paraId="5274FE30">
            <w:pPr>
              <w:pStyle w:val="53"/>
            </w:pPr>
          </w:p>
        </w:tc>
        <w:tc>
          <w:tcPr>
            <w:tcW w:w="1065" w:type="dxa"/>
            <w:vAlign w:val="center"/>
          </w:tcPr>
          <w:p w14:paraId="6729D4B2">
            <w:pPr>
              <w:pStyle w:val="53"/>
            </w:pPr>
          </w:p>
        </w:tc>
        <w:tc>
          <w:tcPr>
            <w:tcW w:w="1065" w:type="dxa"/>
            <w:vAlign w:val="center"/>
          </w:tcPr>
          <w:p w14:paraId="31283EEA">
            <w:pPr>
              <w:pStyle w:val="53"/>
            </w:pPr>
          </w:p>
        </w:tc>
        <w:tc>
          <w:tcPr>
            <w:tcW w:w="1066" w:type="dxa"/>
            <w:vAlign w:val="center"/>
          </w:tcPr>
          <w:p w14:paraId="58DEA533">
            <w:pPr>
              <w:pStyle w:val="53"/>
            </w:pPr>
          </w:p>
        </w:tc>
        <w:tc>
          <w:tcPr>
            <w:tcW w:w="947" w:type="dxa"/>
            <w:vAlign w:val="center"/>
          </w:tcPr>
          <w:p w14:paraId="76DD0B69">
            <w:pPr>
              <w:pStyle w:val="53"/>
            </w:pPr>
          </w:p>
        </w:tc>
      </w:tr>
      <w:tr w14:paraId="18B8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164CA9B">
            <w:pPr>
              <w:pStyle w:val="53"/>
              <w:jc w:val="center"/>
            </w:pPr>
            <w:r>
              <w:rPr>
                <w:rFonts w:hint="eastAsia"/>
              </w:rPr>
              <w:t>3</w:t>
            </w:r>
          </w:p>
        </w:tc>
        <w:tc>
          <w:tcPr>
            <w:tcW w:w="3720" w:type="dxa"/>
            <w:vAlign w:val="center"/>
          </w:tcPr>
          <w:p w14:paraId="02367C17">
            <w:pPr>
              <w:pStyle w:val="53"/>
            </w:pPr>
          </w:p>
        </w:tc>
        <w:tc>
          <w:tcPr>
            <w:tcW w:w="1065" w:type="dxa"/>
            <w:vAlign w:val="center"/>
          </w:tcPr>
          <w:p w14:paraId="093DB5B3">
            <w:pPr>
              <w:pStyle w:val="53"/>
            </w:pPr>
          </w:p>
        </w:tc>
        <w:tc>
          <w:tcPr>
            <w:tcW w:w="1065" w:type="dxa"/>
            <w:vAlign w:val="center"/>
          </w:tcPr>
          <w:p w14:paraId="0E0019DB">
            <w:pPr>
              <w:pStyle w:val="53"/>
            </w:pPr>
          </w:p>
        </w:tc>
        <w:tc>
          <w:tcPr>
            <w:tcW w:w="1066" w:type="dxa"/>
            <w:vAlign w:val="center"/>
          </w:tcPr>
          <w:p w14:paraId="72B2C67B">
            <w:pPr>
              <w:pStyle w:val="53"/>
            </w:pPr>
          </w:p>
        </w:tc>
        <w:tc>
          <w:tcPr>
            <w:tcW w:w="947" w:type="dxa"/>
            <w:vAlign w:val="center"/>
          </w:tcPr>
          <w:p w14:paraId="3B870D8F">
            <w:pPr>
              <w:pStyle w:val="53"/>
            </w:pPr>
          </w:p>
        </w:tc>
      </w:tr>
      <w:tr w14:paraId="25CA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74A546C">
            <w:pPr>
              <w:pStyle w:val="53"/>
              <w:jc w:val="center"/>
            </w:pPr>
            <w:r>
              <w:rPr>
                <w:rFonts w:hint="eastAsia"/>
              </w:rPr>
              <w:t>4</w:t>
            </w:r>
          </w:p>
        </w:tc>
        <w:tc>
          <w:tcPr>
            <w:tcW w:w="3720" w:type="dxa"/>
            <w:vAlign w:val="center"/>
          </w:tcPr>
          <w:p w14:paraId="4FAA244C">
            <w:pPr>
              <w:pStyle w:val="53"/>
            </w:pPr>
          </w:p>
        </w:tc>
        <w:tc>
          <w:tcPr>
            <w:tcW w:w="1065" w:type="dxa"/>
            <w:vAlign w:val="center"/>
          </w:tcPr>
          <w:p w14:paraId="05653013">
            <w:pPr>
              <w:pStyle w:val="53"/>
            </w:pPr>
          </w:p>
        </w:tc>
        <w:tc>
          <w:tcPr>
            <w:tcW w:w="1065" w:type="dxa"/>
            <w:vAlign w:val="center"/>
          </w:tcPr>
          <w:p w14:paraId="04564FAF">
            <w:pPr>
              <w:pStyle w:val="53"/>
            </w:pPr>
          </w:p>
        </w:tc>
        <w:tc>
          <w:tcPr>
            <w:tcW w:w="1066" w:type="dxa"/>
            <w:vAlign w:val="center"/>
          </w:tcPr>
          <w:p w14:paraId="202EAD9E">
            <w:pPr>
              <w:pStyle w:val="53"/>
            </w:pPr>
          </w:p>
        </w:tc>
        <w:tc>
          <w:tcPr>
            <w:tcW w:w="947" w:type="dxa"/>
            <w:vAlign w:val="center"/>
          </w:tcPr>
          <w:p w14:paraId="2E831CB3">
            <w:pPr>
              <w:pStyle w:val="53"/>
            </w:pPr>
          </w:p>
        </w:tc>
      </w:tr>
      <w:tr w14:paraId="258E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021CF12">
            <w:pPr>
              <w:pStyle w:val="53"/>
              <w:jc w:val="center"/>
            </w:pPr>
            <w:r>
              <w:rPr>
                <w:rFonts w:hint="eastAsia"/>
              </w:rPr>
              <w:t>5</w:t>
            </w:r>
          </w:p>
        </w:tc>
        <w:tc>
          <w:tcPr>
            <w:tcW w:w="3720" w:type="dxa"/>
            <w:vAlign w:val="center"/>
          </w:tcPr>
          <w:p w14:paraId="07788A1A">
            <w:pPr>
              <w:pStyle w:val="53"/>
            </w:pPr>
          </w:p>
        </w:tc>
        <w:tc>
          <w:tcPr>
            <w:tcW w:w="1065" w:type="dxa"/>
            <w:vAlign w:val="center"/>
          </w:tcPr>
          <w:p w14:paraId="24394595">
            <w:pPr>
              <w:pStyle w:val="53"/>
            </w:pPr>
          </w:p>
        </w:tc>
        <w:tc>
          <w:tcPr>
            <w:tcW w:w="1065" w:type="dxa"/>
            <w:vAlign w:val="center"/>
          </w:tcPr>
          <w:p w14:paraId="6AAEBAFB">
            <w:pPr>
              <w:pStyle w:val="53"/>
            </w:pPr>
          </w:p>
        </w:tc>
        <w:tc>
          <w:tcPr>
            <w:tcW w:w="1066" w:type="dxa"/>
            <w:vAlign w:val="center"/>
          </w:tcPr>
          <w:p w14:paraId="1BE9C2EA">
            <w:pPr>
              <w:pStyle w:val="53"/>
            </w:pPr>
          </w:p>
        </w:tc>
        <w:tc>
          <w:tcPr>
            <w:tcW w:w="947" w:type="dxa"/>
            <w:vAlign w:val="center"/>
          </w:tcPr>
          <w:p w14:paraId="58663608">
            <w:pPr>
              <w:pStyle w:val="53"/>
            </w:pPr>
          </w:p>
        </w:tc>
      </w:tr>
      <w:tr w14:paraId="62ED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F401CD">
            <w:pPr>
              <w:pStyle w:val="53"/>
              <w:jc w:val="center"/>
            </w:pPr>
            <w:r>
              <w:rPr>
                <w:rFonts w:hint="eastAsia"/>
              </w:rPr>
              <w:t>6</w:t>
            </w:r>
          </w:p>
        </w:tc>
        <w:tc>
          <w:tcPr>
            <w:tcW w:w="3720" w:type="dxa"/>
            <w:vAlign w:val="center"/>
          </w:tcPr>
          <w:p w14:paraId="13AA48D8">
            <w:pPr>
              <w:pStyle w:val="53"/>
            </w:pPr>
          </w:p>
        </w:tc>
        <w:tc>
          <w:tcPr>
            <w:tcW w:w="1065" w:type="dxa"/>
            <w:vAlign w:val="center"/>
          </w:tcPr>
          <w:p w14:paraId="2773CAF2">
            <w:pPr>
              <w:pStyle w:val="53"/>
            </w:pPr>
          </w:p>
        </w:tc>
        <w:tc>
          <w:tcPr>
            <w:tcW w:w="1065" w:type="dxa"/>
            <w:vAlign w:val="center"/>
          </w:tcPr>
          <w:p w14:paraId="70C349CE">
            <w:pPr>
              <w:pStyle w:val="53"/>
            </w:pPr>
          </w:p>
        </w:tc>
        <w:tc>
          <w:tcPr>
            <w:tcW w:w="1066" w:type="dxa"/>
            <w:vAlign w:val="center"/>
          </w:tcPr>
          <w:p w14:paraId="7AEF752F">
            <w:pPr>
              <w:pStyle w:val="53"/>
            </w:pPr>
          </w:p>
        </w:tc>
        <w:tc>
          <w:tcPr>
            <w:tcW w:w="947" w:type="dxa"/>
            <w:vAlign w:val="center"/>
          </w:tcPr>
          <w:p w14:paraId="094C6426">
            <w:pPr>
              <w:pStyle w:val="53"/>
            </w:pPr>
          </w:p>
        </w:tc>
      </w:tr>
      <w:tr w14:paraId="442B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9088ABF">
            <w:pPr>
              <w:pStyle w:val="53"/>
              <w:jc w:val="center"/>
            </w:pPr>
            <w:r>
              <w:rPr>
                <w:rFonts w:hint="eastAsia"/>
              </w:rPr>
              <w:t>7</w:t>
            </w:r>
          </w:p>
        </w:tc>
        <w:tc>
          <w:tcPr>
            <w:tcW w:w="3720" w:type="dxa"/>
            <w:vAlign w:val="center"/>
          </w:tcPr>
          <w:p w14:paraId="0F3D4162">
            <w:pPr>
              <w:pStyle w:val="53"/>
            </w:pPr>
          </w:p>
        </w:tc>
        <w:tc>
          <w:tcPr>
            <w:tcW w:w="1065" w:type="dxa"/>
            <w:vAlign w:val="center"/>
          </w:tcPr>
          <w:p w14:paraId="6A7747A9">
            <w:pPr>
              <w:pStyle w:val="53"/>
            </w:pPr>
          </w:p>
        </w:tc>
        <w:tc>
          <w:tcPr>
            <w:tcW w:w="1065" w:type="dxa"/>
            <w:vAlign w:val="center"/>
          </w:tcPr>
          <w:p w14:paraId="33E0F1B9">
            <w:pPr>
              <w:pStyle w:val="53"/>
            </w:pPr>
          </w:p>
        </w:tc>
        <w:tc>
          <w:tcPr>
            <w:tcW w:w="1066" w:type="dxa"/>
            <w:vAlign w:val="center"/>
          </w:tcPr>
          <w:p w14:paraId="5EB388B6">
            <w:pPr>
              <w:pStyle w:val="53"/>
            </w:pPr>
          </w:p>
        </w:tc>
        <w:tc>
          <w:tcPr>
            <w:tcW w:w="947" w:type="dxa"/>
            <w:vAlign w:val="center"/>
          </w:tcPr>
          <w:p w14:paraId="15316002">
            <w:pPr>
              <w:pStyle w:val="53"/>
            </w:pPr>
          </w:p>
        </w:tc>
      </w:tr>
      <w:tr w14:paraId="400B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44D1A23">
            <w:pPr>
              <w:pStyle w:val="53"/>
              <w:jc w:val="center"/>
            </w:pPr>
            <w:r>
              <w:rPr>
                <w:rFonts w:hint="eastAsia"/>
              </w:rPr>
              <w:t>8</w:t>
            </w:r>
          </w:p>
        </w:tc>
        <w:tc>
          <w:tcPr>
            <w:tcW w:w="3720" w:type="dxa"/>
            <w:vAlign w:val="center"/>
          </w:tcPr>
          <w:p w14:paraId="0D8F0317">
            <w:pPr>
              <w:pStyle w:val="53"/>
            </w:pPr>
          </w:p>
        </w:tc>
        <w:tc>
          <w:tcPr>
            <w:tcW w:w="1065" w:type="dxa"/>
            <w:vAlign w:val="center"/>
          </w:tcPr>
          <w:p w14:paraId="6C52F9D9">
            <w:pPr>
              <w:pStyle w:val="53"/>
            </w:pPr>
          </w:p>
        </w:tc>
        <w:tc>
          <w:tcPr>
            <w:tcW w:w="1065" w:type="dxa"/>
            <w:vAlign w:val="center"/>
          </w:tcPr>
          <w:p w14:paraId="057C8659">
            <w:pPr>
              <w:pStyle w:val="53"/>
            </w:pPr>
          </w:p>
        </w:tc>
        <w:tc>
          <w:tcPr>
            <w:tcW w:w="1066" w:type="dxa"/>
            <w:vAlign w:val="center"/>
          </w:tcPr>
          <w:p w14:paraId="64C12292">
            <w:pPr>
              <w:pStyle w:val="53"/>
            </w:pPr>
          </w:p>
        </w:tc>
        <w:tc>
          <w:tcPr>
            <w:tcW w:w="947" w:type="dxa"/>
            <w:vAlign w:val="center"/>
          </w:tcPr>
          <w:p w14:paraId="21E90A56">
            <w:pPr>
              <w:pStyle w:val="53"/>
            </w:pPr>
          </w:p>
        </w:tc>
      </w:tr>
      <w:tr w14:paraId="365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60B935A">
            <w:pPr>
              <w:pStyle w:val="53"/>
              <w:jc w:val="center"/>
            </w:pPr>
            <w:r>
              <w:rPr>
                <w:rFonts w:hint="eastAsia"/>
              </w:rPr>
              <w:t>9</w:t>
            </w:r>
          </w:p>
        </w:tc>
        <w:tc>
          <w:tcPr>
            <w:tcW w:w="3720" w:type="dxa"/>
            <w:vAlign w:val="center"/>
          </w:tcPr>
          <w:p w14:paraId="68B765BE">
            <w:pPr>
              <w:pStyle w:val="53"/>
            </w:pPr>
          </w:p>
        </w:tc>
        <w:tc>
          <w:tcPr>
            <w:tcW w:w="1065" w:type="dxa"/>
            <w:vAlign w:val="center"/>
          </w:tcPr>
          <w:p w14:paraId="69D195BE">
            <w:pPr>
              <w:pStyle w:val="53"/>
            </w:pPr>
          </w:p>
        </w:tc>
        <w:tc>
          <w:tcPr>
            <w:tcW w:w="1065" w:type="dxa"/>
            <w:vAlign w:val="center"/>
          </w:tcPr>
          <w:p w14:paraId="3AB9E940">
            <w:pPr>
              <w:pStyle w:val="53"/>
            </w:pPr>
          </w:p>
        </w:tc>
        <w:tc>
          <w:tcPr>
            <w:tcW w:w="1066" w:type="dxa"/>
            <w:vAlign w:val="center"/>
          </w:tcPr>
          <w:p w14:paraId="76391D2F">
            <w:pPr>
              <w:pStyle w:val="53"/>
            </w:pPr>
          </w:p>
        </w:tc>
        <w:tc>
          <w:tcPr>
            <w:tcW w:w="947" w:type="dxa"/>
            <w:vAlign w:val="center"/>
          </w:tcPr>
          <w:p w14:paraId="09A4D921">
            <w:pPr>
              <w:pStyle w:val="53"/>
            </w:pPr>
          </w:p>
        </w:tc>
      </w:tr>
      <w:tr w14:paraId="2FA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469D7F6">
            <w:pPr>
              <w:pStyle w:val="53"/>
              <w:jc w:val="center"/>
            </w:pPr>
            <w:r>
              <w:rPr>
                <w:rFonts w:hint="eastAsia"/>
              </w:rPr>
              <w:t>10</w:t>
            </w:r>
          </w:p>
        </w:tc>
        <w:tc>
          <w:tcPr>
            <w:tcW w:w="3720" w:type="dxa"/>
            <w:vAlign w:val="center"/>
          </w:tcPr>
          <w:p w14:paraId="33E9D259">
            <w:pPr>
              <w:pStyle w:val="53"/>
            </w:pPr>
          </w:p>
        </w:tc>
        <w:tc>
          <w:tcPr>
            <w:tcW w:w="1065" w:type="dxa"/>
            <w:vAlign w:val="center"/>
          </w:tcPr>
          <w:p w14:paraId="46FB6DAF">
            <w:pPr>
              <w:pStyle w:val="53"/>
            </w:pPr>
          </w:p>
        </w:tc>
        <w:tc>
          <w:tcPr>
            <w:tcW w:w="1065" w:type="dxa"/>
            <w:vAlign w:val="center"/>
          </w:tcPr>
          <w:p w14:paraId="2E724CF3">
            <w:pPr>
              <w:pStyle w:val="53"/>
            </w:pPr>
          </w:p>
        </w:tc>
        <w:tc>
          <w:tcPr>
            <w:tcW w:w="1066" w:type="dxa"/>
            <w:vAlign w:val="center"/>
          </w:tcPr>
          <w:p w14:paraId="1D316436">
            <w:pPr>
              <w:pStyle w:val="53"/>
            </w:pPr>
          </w:p>
        </w:tc>
        <w:tc>
          <w:tcPr>
            <w:tcW w:w="947" w:type="dxa"/>
            <w:vAlign w:val="center"/>
          </w:tcPr>
          <w:p w14:paraId="5C7A0F10">
            <w:pPr>
              <w:pStyle w:val="53"/>
            </w:pPr>
          </w:p>
        </w:tc>
      </w:tr>
      <w:tr w14:paraId="23F6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2BC35DC">
            <w:pPr>
              <w:pStyle w:val="53"/>
              <w:jc w:val="center"/>
            </w:pPr>
            <w:r>
              <w:rPr>
                <w:rFonts w:hint="eastAsia"/>
              </w:rPr>
              <w:t>……</w:t>
            </w:r>
          </w:p>
        </w:tc>
        <w:tc>
          <w:tcPr>
            <w:tcW w:w="3720" w:type="dxa"/>
            <w:vAlign w:val="center"/>
          </w:tcPr>
          <w:p w14:paraId="62A93AD9">
            <w:pPr>
              <w:pStyle w:val="53"/>
            </w:pPr>
            <w:r>
              <w:rPr>
                <w:rFonts w:hint="eastAsia"/>
              </w:rPr>
              <w:t>……</w:t>
            </w:r>
          </w:p>
        </w:tc>
        <w:tc>
          <w:tcPr>
            <w:tcW w:w="1065" w:type="dxa"/>
            <w:vAlign w:val="center"/>
          </w:tcPr>
          <w:p w14:paraId="1447DDBF">
            <w:pPr>
              <w:pStyle w:val="53"/>
            </w:pPr>
          </w:p>
        </w:tc>
        <w:tc>
          <w:tcPr>
            <w:tcW w:w="1065" w:type="dxa"/>
            <w:vAlign w:val="center"/>
          </w:tcPr>
          <w:p w14:paraId="59F6E4A0">
            <w:pPr>
              <w:pStyle w:val="53"/>
            </w:pPr>
          </w:p>
        </w:tc>
        <w:tc>
          <w:tcPr>
            <w:tcW w:w="1066" w:type="dxa"/>
            <w:vAlign w:val="center"/>
          </w:tcPr>
          <w:p w14:paraId="17284D1B">
            <w:pPr>
              <w:pStyle w:val="53"/>
            </w:pPr>
          </w:p>
        </w:tc>
        <w:tc>
          <w:tcPr>
            <w:tcW w:w="947" w:type="dxa"/>
            <w:vAlign w:val="center"/>
          </w:tcPr>
          <w:p w14:paraId="07FCB186">
            <w:pPr>
              <w:pStyle w:val="53"/>
            </w:pPr>
          </w:p>
        </w:tc>
      </w:tr>
      <w:tr w14:paraId="6711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2E2CF68C">
            <w:pPr>
              <w:pStyle w:val="53"/>
              <w:jc w:val="center"/>
            </w:pPr>
            <w:r>
              <w:rPr>
                <w:rFonts w:hint="eastAsia"/>
              </w:rPr>
              <w:t>总计</w:t>
            </w:r>
          </w:p>
        </w:tc>
        <w:tc>
          <w:tcPr>
            <w:tcW w:w="2013" w:type="dxa"/>
            <w:gridSpan w:val="2"/>
            <w:vAlign w:val="center"/>
          </w:tcPr>
          <w:p w14:paraId="4733EC04">
            <w:pPr>
              <w:pStyle w:val="53"/>
            </w:pPr>
          </w:p>
        </w:tc>
      </w:tr>
    </w:tbl>
    <w:p w14:paraId="50939709">
      <w:pPr>
        <w:spacing w:line="300" w:lineRule="auto"/>
        <w:rPr>
          <w:rFonts w:ascii="Arial" w:hAnsi="Arial" w:cs="Arial"/>
          <w:szCs w:val="21"/>
        </w:rPr>
      </w:pPr>
    </w:p>
    <w:p w14:paraId="535A82E6">
      <w:pPr>
        <w:spacing w:line="300" w:lineRule="auto"/>
        <w:rPr>
          <w:rFonts w:ascii="Arial" w:hAnsi="Arial" w:cs="Arial"/>
          <w:szCs w:val="21"/>
        </w:rPr>
      </w:pPr>
      <w:r>
        <w:rPr>
          <w:rFonts w:ascii="Arial" w:hAnsi="Arial" w:cs="Arial"/>
          <w:szCs w:val="21"/>
        </w:rPr>
        <w:t>供应商名称：</w:t>
      </w:r>
    </w:p>
    <w:p w14:paraId="77074090">
      <w:pPr>
        <w:spacing w:line="300" w:lineRule="auto"/>
        <w:rPr>
          <w:rFonts w:ascii="Arial" w:hAnsi="Arial" w:cs="Arial"/>
          <w:szCs w:val="21"/>
          <w:u w:val="single"/>
        </w:rPr>
      </w:pPr>
      <w:r>
        <w:rPr>
          <w:rFonts w:ascii="Arial" w:hAnsi="Arial" w:cs="Arial"/>
          <w:szCs w:val="21"/>
        </w:rPr>
        <w:t>日期：</w:t>
      </w:r>
    </w:p>
    <w:p w14:paraId="0D0870AA"/>
    <w:p w14:paraId="62E98D23"/>
    <w:p w14:paraId="6669293D">
      <w:pPr>
        <w:rPr>
          <w:b/>
          <w:bCs/>
        </w:rPr>
      </w:pPr>
      <w:r>
        <w:rPr>
          <w:b/>
          <w:bCs/>
        </w:rPr>
        <w:t>注：</w:t>
      </w:r>
    </w:p>
    <w:p w14:paraId="7CEF3471">
      <w:pPr>
        <w:pStyle w:val="53"/>
        <w:ind w:firstLine="210" w:firstLineChars="100"/>
      </w:pPr>
      <w:r>
        <w:t>按照本表填写的各项目的合计价填写到</w:t>
      </w:r>
      <w:r>
        <w:rPr>
          <w:rFonts w:hint="eastAsia"/>
        </w:rPr>
        <w:t>《报价一览表》</w:t>
      </w:r>
      <w:r>
        <w:t>中对应的栏目中。</w:t>
      </w:r>
    </w:p>
    <w:p w14:paraId="2F231CB7">
      <w:pPr>
        <w:spacing w:line="360" w:lineRule="auto"/>
        <w:jc w:val="center"/>
        <w:outlineLvl w:val="1"/>
        <w:rPr>
          <w:rFonts w:hint="eastAsia" w:ascii="宋体" w:hAnsi="宋体" w:cs="宋体"/>
          <w:b/>
          <w:sz w:val="32"/>
          <w:szCs w:val="32"/>
        </w:rPr>
      </w:pPr>
    </w:p>
    <w:p w14:paraId="008A103D">
      <w:pPr>
        <w:spacing w:line="360" w:lineRule="auto"/>
        <w:jc w:val="both"/>
        <w:outlineLvl w:val="1"/>
        <w:rPr>
          <w:rFonts w:hint="eastAsia" w:ascii="宋体" w:hAnsi="宋体" w:cs="宋体"/>
          <w:b/>
          <w:sz w:val="32"/>
          <w:szCs w:val="32"/>
        </w:rPr>
      </w:pPr>
    </w:p>
    <w:p w14:paraId="15083125">
      <w:pPr>
        <w:spacing w:line="360" w:lineRule="auto"/>
        <w:jc w:val="both"/>
        <w:outlineLvl w:val="1"/>
        <w:rPr>
          <w:rFonts w:hint="eastAsia" w:ascii="宋体" w:hAnsi="宋体" w:cs="宋体"/>
          <w:b/>
          <w:sz w:val="32"/>
          <w:szCs w:val="32"/>
        </w:rPr>
      </w:pPr>
    </w:p>
    <w:p w14:paraId="5BCCFDC8">
      <w:pPr>
        <w:spacing w:line="360" w:lineRule="auto"/>
        <w:jc w:val="both"/>
        <w:outlineLvl w:val="1"/>
        <w:rPr>
          <w:rFonts w:hint="eastAsia" w:ascii="宋体" w:hAnsi="宋体" w:cs="宋体"/>
          <w:b/>
          <w:sz w:val="32"/>
          <w:szCs w:val="32"/>
        </w:rPr>
      </w:pPr>
    </w:p>
    <w:p w14:paraId="52242F6B">
      <w:pPr>
        <w:spacing w:line="360" w:lineRule="auto"/>
        <w:jc w:val="both"/>
        <w:outlineLvl w:val="1"/>
        <w:rPr>
          <w:rFonts w:hint="eastAsia" w:ascii="宋体" w:hAnsi="宋体" w:cs="宋体"/>
          <w:b/>
          <w:sz w:val="32"/>
          <w:szCs w:val="32"/>
        </w:rPr>
      </w:pPr>
    </w:p>
    <w:p w14:paraId="1FA72A76">
      <w:pPr>
        <w:spacing w:line="360" w:lineRule="auto"/>
        <w:jc w:val="center"/>
        <w:outlineLvl w:val="1"/>
        <w:rPr>
          <w:rFonts w:ascii="宋体" w:hAnsi="宋体" w:cs="宋体"/>
          <w:b/>
          <w:bCs/>
          <w:sz w:val="36"/>
          <w:szCs w:val="36"/>
        </w:rPr>
      </w:pPr>
      <w:bookmarkStart w:id="127" w:name="_Toc13792"/>
      <w:r>
        <w:rPr>
          <w:rFonts w:hint="eastAsia" w:ascii="宋体" w:hAnsi="宋体" w:cs="宋体"/>
          <w:b/>
          <w:sz w:val="32"/>
          <w:szCs w:val="32"/>
        </w:rPr>
        <w:t>三、法定代表人身份证明书</w:t>
      </w:r>
      <w:bookmarkEnd w:id="124"/>
      <w:bookmarkEnd w:id="127"/>
    </w:p>
    <w:p w14:paraId="0CFC6041">
      <w:pPr>
        <w:spacing w:line="360" w:lineRule="auto"/>
        <w:rPr>
          <w:rFonts w:ascii="宋体" w:hAnsi="宋体" w:cs="宋体"/>
          <w:sz w:val="24"/>
        </w:rPr>
      </w:pPr>
    </w:p>
    <w:p w14:paraId="77639DD4">
      <w:pPr>
        <w:spacing w:line="500" w:lineRule="exact"/>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3264625D">
      <w:pPr>
        <w:spacing w:line="50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42F3E0BD">
      <w:pPr>
        <w:spacing w:line="50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66942A38">
      <w:pPr>
        <w:spacing w:line="50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日</w:t>
      </w:r>
    </w:p>
    <w:p w14:paraId="19E7C47D">
      <w:pPr>
        <w:spacing w:line="50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73B9523F">
      <w:pPr>
        <w:spacing w:line="500" w:lineRule="exact"/>
        <w:rPr>
          <w:rFonts w:ascii="宋体" w:hAnsi="宋体" w:cs="宋体"/>
          <w:szCs w:val="21"/>
        </w:rPr>
      </w:pPr>
      <w:r>
        <w:rPr>
          <w:rFonts w:hint="eastAsia" w:ascii="宋体" w:hAnsi="宋体" w:cs="宋体"/>
          <w:szCs w:val="21"/>
        </w:rPr>
        <w:t>姓名：</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性别：</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年龄：</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职务：</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7D07F997">
      <w:pPr>
        <w:spacing w:line="50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（投标人单位名称）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的法定代表人</w:t>
      </w:r>
    </w:p>
    <w:p w14:paraId="2F6EEAD2">
      <w:pPr>
        <w:spacing w:line="500" w:lineRule="exact"/>
        <w:ind w:firstLine="1102" w:firstLineChars="525"/>
        <w:rPr>
          <w:rFonts w:ascii="宋体" w:hAnsi="宋体" w:cs="宋体"/>
          <w:szCs w:val="21"/>
        </w:rPr>
      </w:pPr>
      <w:r>
        <w:rPr>
          <w:rFonts w:hint="eastAsia" w:ascii="宋体" w:hAnsi="宋体" w:cs="宋体"/>
          <w:szCs w:val="21"/>
        </w:rPr>
        <w:t>特此证明。</w:t>
      </w:r>
    </w:p>
    <w:p w14:paraId="2167605E">
      <w:pPr>
        <w:spacing w:line="360" w:lineRule="auto"/>
        <w:ind w:firstLine="523" w:firstLineChars="218"/>
        <w:rPr>
          <w:rFonts w:ascii="宋体" w:hAnsi="宋体" w:cs="宋体"/>
          <w:sz w:val="24"/>
        </w:rPr>
      </w:pPr>
    </w:p>
    <w:p w14:paraId="5A322A11">
      <w:pPr>
        <w:spacing w:line="360" w:lineRule="auto"/>
        <w:ind w:firstLine="523" w:firstLineChars="218"/>
        <w:rPr>
          <w:rFonts w:ascii="宋体" w:hAnsi="宋体" w:cs="宋体"/>
          <w:sz w:val="24"/>
        </w:rPr>
      </w:pPr>
    </w:p>
    <w:p w14:paraId="1D33CD15">
      <w:pPr>
        <w:spacing w:line="360" w:lineRule="auto"/>
        <w:ind w:firstLine="523" w:firstLineChars="218"/>
        <w:rPr>
          <w:rFonts w:ascii="宋体" w:hAnsi="宋体" w:cs="宋体"/>
          <w:sz w:val="24"/>
        </w:rPr>
      </w:pPr>
    </w:p>
    <w:p w14:paraId="440FCBD9">
      <w:pPr>
        <w:spacing w:line="360" w:lineRule="auto"/>
        <w:ind w:firstLine="523" w:firstLineChars="218"/>
        <w:rPr>
          <w:rFonts w:ascii="宋体" w:hAnsi="宋体" w:cs="宋体"/>
          <w:sz w:val="24"/>
        </w:rPr>
      </w:pPr>
    </w:p>
    <w:p w14:paraId="03802771">
      <w:pPr>
        <w:spacing w:line="360" w:lineRule="auto"/>
        <w:rPr>
          <w:rFonts w:ascii="宋体" w:hAnsi="宋体" w:cs="宋体"/>
          <w:sz w:val="24"/>
        </w:rPr>
      </w:pPr>
    </w:p>
    <w:p w14:paraId="4C6D106C">
      <w:pPr>
        <w:spacing w:line="500" w:lineRule="exact"/>
        <w:rPr>
          <w:rFonts w:ascii="宋体" w:hAnsi="宋体" w:cs="宋体"/>
          <w:szCs w:val="21"/>
          <w:u w:val="single"/>
        </w:rPr>
      </w:pPr>
      <w:r>
        <w:rPr>
          <w:rFonts w:hint="eastAsia" w:ascii="宋体" w:hAnsi="宋体" w:cs="宋体"/>
          <w:szCs w:val="21"/>
        </w:rPr>
        <w:t>投标人（盖章）：</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6C484913">
      <w:pPr>
        <w:spacing w:line="50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lang w:val="en-US" w:eastAsia="zh-CN"/>
        </w:rPr>
        <w:t xml:space="preserve">   </w:t>
      </w:r>
      <w:r>
        <w:rPr>
          <w:rFonts w:hint="eastAsia" w:ascii="宋体" w:hAnsi="宋体" w:cs="宋体"/>
          <w:szCs w:val="21"/>
        </w:rPr>
        <w:t>日</w:t>
      </w:r>
    </w:p>
    <w:p w14:paraId="5DFE46F3">
      <w:pPr>
        <w:spacing w:line="360" w:lineRule="auto"/>
        <w:rPr>
          <w:rFonts w:ascii="宋体" w:hAnsi="宋体" w:cs="宋体"/>
          <w:sz w:val="24"/>
        </w:rPr>
      </w:pPr>
    </w:p>
    <w:p w14:paraId="2570EDB2">
      <w:pPr>
        <w:spacing w:line="360" w:lineRule="auto"/>
        <w:rPr>
          <w:rFonts w:ascii="宋体" w:hAnsi="宋体" w:cs="宋体"/>
          <w:sz w:val="24"/>
        </w:rPr>
      </w:pPr>
    </w:p>
    <w:p w14:paraId="4E230650">
      <w:pPr>
        <w:pStyle w:val="22"/>
        <w:ind w:firstLine="0" w:firstLineChars="0"/>
        <w:rPr>
          <w:rFonts w:ascii="宋体" w:hAnsi="宋体" w:cs="宋体"/>
          <w:sz w:val="24"/>
        </w:rPr>
      </w:pPr>
    </w:p>
    <w:p w14:paraId="596AAAE1">
      <w:pPr>
        <w:spacing w:line="360" w:lineRule="auto"/>
        <w:jc w:val="center"/>
        <w:rPr>
          <w:rFonts w:ascii="宋体" w:hAnsi="宋体" w:cs="宋体"/>
          <w:b/>
          <w:sz w:val="24"/>
        </w:rPr>
      </w:pPr>
    </w:p>
    <w:p w14:paraId="2297BB6B">
      <w:pPr>
        <w:spacing w:line="360" w:lineRule="auto"/>
        <w:jc w:val="center"/>
        <w:rPr>
          <w:rFonts w:ascii="宋体" w:hAnsi="宋体" w:cs="宋体"/>
          <w:b/>
          <w:sz w:val="24"/>
        </w:rPr>
      </w:pPr>
    </w:p>
    <w:p w14:paraId="3CCC87C4">
      <w:pPr>
        <w:spacing w:line="360" w:lineRule="auto"/>
        <w:jc w:val="center"/>
        <w:rPr>
          <w:rFonts w:ascii="宋体" w:hAnsi="宋体" w:cs="宋体"/>
          <w:b/>
          <w:sz w:val="24"/>
        </w:rPr>
      </w:pPr>
    </w:p>
    <w:p w14:paraId="5535C272">
      <w:pPr>
        <w:spacing w:line="360" w:lineRule="auto"/>
        <w:jc w:val="center"/>
        <w:rPr>
          <w:rFonts w:ascii="宋体" w:hAnsi="宋体" w:cs="宋体"/>
          <w:b/>
          <w:sz w:val="24"/>
        </w:rPr>
      </w:pPr>
    </w:p>
    <w:p w14:paraId="3C7ED1A6">
      <w:pPr>
        <w:spacing w:line="360" w:lineRule="auto"/>
        <w:jc w:val="center"/>
        <w:rPr>
          <w:rFonts w:ascii="宋体" w:hAnsi="宋体" w:cs="宋体"/>
          <w:b/>
          <w:sz w:val="24"/>
        </w:rPr>
      </w:pPr>
    </w:p>
    <w:p w14:paraId="5B0A74A0">
      <w:pPr>
        <w:spacing w:line="360" w:lineRule="auto"/>
        <w:jc w:val="center"/>
        <w:rPr>
          <w:rFonts w:ascii="宋体" w:hAnsi="宋体" w:cs="宋体"/>
          <w:b/>
          <w:sz w:val="24"/>
        </w:rPr>
      </w:pPr>
    </w:p>
    <w:p w14:paraId="37E9E48E">
      <w:pPr>
        <w:spacing w:line="360" w:lineRule="auto"/>
        <w:jc w:val="center"/>
        <w:rPr>
          <w:rFonts w:ascii="宋体" w:hAnsi="宋体" w:cs="宋体"/>
          <w:b/>
          <w:sz w:val="24"/>
        </w:rPr>
      </w:pPr>
    </w:p>
    <w:p w14:paraId="78468060">
      <w:pPr>
        <w:spacing w:line="360" w:lineRule="auto"/>
        <w:jc w:val="center"/>
        <w:rPr>
          <w:rFonts w:ascii="宋体" w:hAnsi="宋体" w:cs="宋体"/>
          <w:b/>
          <w:sz w:val="24"/>
        </w:rPr>
      </w:pPr>
    </w:p>
    <w:p w14:paraId="1E8C6A81">
      <w:pPr>
        <w:spacing w:line="360" w:lineRule="auto"/>
        <w:jc w:val="center"/>
        <w:rPr>
          <w:rFonts w:ascii="宋体" w:hAnsi="宋体" w:cs="宋体"/>
          <w:b/>
          <w:sz w:val="36"/>
          <w:szCs w:val="36"/>
        </w:rPr>
        <w:sectPr>
          <w:footerReference r:id="rId8" w:type="first"/>
          <w:footerReference r:id="rId7" w:type="default"/>
          <w:pgSz w:w="11906" w:h="16838"/>
          <w:pgMar w:top="1020" w:right="1266" w:bottom="1118" w:left="1600" w:header="851" w:footer="992" w:gutter="0"/>
          <w:pgNumType w:fmt="decimal"/>
          <w:cols w:space="720" w:num="1"/>
          <w:titlePg/>
          <w:docGrid w:type="lines" w:linePitch="312" w:charSpace="0"/>
        </w:sectPr>
      </w:pPr>
    </w:p>
    <w:p w14:paraId="570C4417">
      <w:pPr>
        <w:spacing w:line="360" w:lineRule="auto"/>
        <w:jc w:val="center"/>
        <w:outlineLvl w:val="1"/>
        <w:rPr>
          <w:rFonts w:ascii="宋体" w:hAnsi="宋体" w:cs="宋体"/>
          <w:b/>
          <w:bCs/>
          <w:sz w:val="36"/>
          <w:szCs w:val="36"/>
        </w:rPr>
      </w:pPr>
      <w:bookmarkStart w:id="128" w:name="_Toc13372"/>
      <w:bookmarkStart w:id="129" w:name="_Toc17439"/>
      <w:r>
        <w:rPr>
          <w:rFonts w:hint="eastAsia" w:ascii="宋体" w:hAnsi="宋体" w:cs="宋体"/>
          <w:b/>
          <w:sz w:val="32"/>
          <w:szCs w:val="32"/>
        </w:rPr>
        <w:t>四、法定代表人授权委托书</w:t>
      </w:r>
      <w:bookmarkEnd w:id="128"/>
      <w:bookmarkEnd w:id="129"/>
    </w:p>
    <w:p w14:paraId="0D47393F">
      <w:pPr>
        <w:spacing w:line="360" w:lineRule="auto"/>
        <w:ind w:firstLine="480" w:firstLineChars="200"/>
        <w:rPr>
          <w:rFonts w:ascii="宋体" w:hAnsi="宋体" w:cs="宋体"/>
          <w:sz w:val="24"/>
        </w:rPr>
      </w:pPr>
    </w:p>
    <w:p w14:paraId="4AA2AD39">
      <w:pPr>
        <w:spacing w:line="50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（投标人名称）</w:t>
      </w:r>
      <w:r>
        <w:rPr>
          <w:rFonts w:hint="eastAsia" w:ascii="宋体" w:hAnsi="宋体" w:cs="宋体"/>
          <w:szCs w:val="21"/>
        </w:rPr>
        <w:t>的法定代表人，现委托</w:t>
      </w:r>
      <w:r>
        <w:rPr>
          <w:rFonts w:hint="eastAsia" w:ascii="宋体" w:hAnsi="宋体" w:cs="宋体"/>
          <w:szCs w:val="21"/>
          <w:u w:val="single"/>
        </w:rPr>
        <w:t>（姓名）</w:t>
      </w:r>
      <w:r>
        <w:rPr>
          <w:rFonts w:hint="eastAsia" w:ascii="宋体" w:hAnsi="宋体" w:cs="宋体"/>
          <w:szCs w:val="21"/>
        </w:rPr>
        <w:t>为我方代理人。代理人根据授权，以我方名义签署、澄清、说明、补正、递交、撤回、修改</w:t>
      </w:r>
      <w:r>
        <w:rPr>
          <w:rFonts w:hint="eastAsia" w:ascii="宋体" w:hAnsi="宋体" w:cs="宋体"/>
          <w:szCs w:val="21"/>
          <w:u w:val="single"/>
        </w:rPr>
        <w:t>（项目名称）</w:t>
      </w:r>
      <w:r>
        <w:rPr>
          <w:rFonts w:hint="eastAsia" w:ascii="宋体" w:hAnsi="宋体" w:cs="宋体"/>
          <w:szCs w:val="21"/>
        </w:rPr>
        <w:t>投标文件、签订合同和处理有关事宜，其法律后果由我方承担。</w:t>
      </w:r>
    </w:p>
    <w:p w14:paraId="7AE65E64">
      <w:pPr>
        <w:spacing w:beforeLines="50" w:line="500" w:lineRule="exact"/>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lang w:val="en-US" w:eastAsia="zh-CN"/>
        </w:rPr>
        <w:t xml:space="preserve">        </w:t>
      </w:r>
      <w:r>
        <w:rPr>
          <w:rFonts w:hint="eastAsia" w:ascii="宋体" w:hAnsi="宋体" w:cs="宋体"/>
          <w:szCs w:val="21"/>
        </w:rPr>
        <w:t>。</w:t>
      </w:r>
    </w:p>
    <w:p w14:paraId="2F5DC5FD">
      <w:pPr>
        <w:spacing w:beforeLines="100" w:afterLines="100" w:line="500" w:lineRule="exact"/>
        <w:ind w:firstLine="420" w:firstLineChars="200"/>
        <w:rPr>
          <w:rFonts w:ascii="宋体" w:hAnsi="宋体" w:cs="宋体"/>
          <w:szCs w:val="21"/>
        </w:rPr>
      </w:pPr>
      <w:r>
        <w:rPr>
          <w:rFonts w:hint="eastAsia" w:ascii="宋体" w:hAnsi="宋体" w:cs="宋体"/>
          <w:szCs w:val="21"/>
        </w:rPr>
        <w:t>代理人无转委托权。</w:t>
      </w:r>
    </w:p>
    <w:p w14:paraId="7C0B39DE">
      <w:pPr>
        <w:spacing w:afterLines="100" w:line="500" w:lineRule="exact"/>
        <w:ind w:firstLine="420" w:firstLineChars="200"/>
        <w:rPr>
          <w:rFonts w:ascii="宋体" w:hAnsi="宋体" w:cs="宋体"/>
          <w:szCs w:val="21"/>
        </w:rPr>
      </w:pPr>
      <w:r>
        <w:rPr>
          <w:rFonts w:hint="eastAsia" w:ascii="宋体" w:hAnsi="宋体" w:cs="宋体"/>
          <w:szCs w:val="21"/>
        </w:rPr>
        <w:t>附：法定代表人和委托代理人身份证明</w:t>
      </w:r>
    </w:p>
    <w:p w14:paraId="4E553477">
      <w:pPr>
        <w:spacing w:afterLines="100" w:line="500" w:lineRule="exact"/>
        <w:ind w:firstLine="420" w:firstLineChars="200"/>
        <w:rPr>
          <w:rFonts w:ascii="宋体" w:hAnsi="宋体" w:cs="宋体"/>
          <w:szCs w:val="21"/>
        </w:rPr>
      </w:pPr>
    </w:p>
    <w:p w14:paraId="767653D0">
      <w:pPr>
        <w:spacing w:line="500" w:lineRule="exact"/>
        <w:rPr>
          <w:rFonts w:ascii="宋体" w:hAnsi="宋体" w:cs="宋体"/>
          <w:szCs w:val="21"/>
        </w:rPr>
      </w:pPr>
    </w:p>
    <w:p w14:paraId="6CBB6632">
      <w:pPr>
        <w:spacing w:line="500" w:lineRule="exact"/>
        <w:rPr>
          <w:rFonts w:hint="default" w:ascii="宋体" w:hAnsi="宋体" w:cs="宋体" w:eastAsiaTheme="minorEastAsia"/>
          <w:szCs w:val="21"/>
          <w:u w:val="single"/>
          <w:lang w:val="en-US" w:eastAsia="zh-CN"/>
        </w:rPr>
      </w:pPr>
      <w:r>
        <w:rPr>
          <w:rFonts w:hint="eastAsia" w:ascii="宋体" w:hAnsi="宋体" w:cs="宋体"/>
          <w:szCs w:val="21"/>
        </w:rPr>
        <w:t>投 标 人（盖单位章）：</w:t>
      </w:r>
      <w:r>
        <w:rPr>
          <w:rFonts w:hint="eastAsia" w:ascii="宋体" w:hAnsi="宋体" w:cs="宋体"/>
          <w:szCs w:val="21"/>
          <w:u w:val="single"/>
          <w:lang w:val="en-US" w:eastAsia="zh-CN"/>
        </w:rPr>
        <w:t xml:space="preserve">                </w:t>
      </w:r>
    </w:p>
    <w:p w14:paraId="74F32833">
      <w:pPr>
        <w:spacing w:line="500" w:lineRule="exact"/>
        <w:rPr>
          <w:rFonts w:hint="default" w:ascii="宋体" w:hAnsi="宋体" w:cs="宋体" w:eastAsiaTheme="minorEastAsia"/>
          <w:szCs w:val="21"/>
          <w:u w:val="single"/>
          <w:lang w:val="en-US" w:eastAsia="zh-CN"/>
        </w:rPr>
      </w:pPr>
      <w:r>
        <w:rPr>
          <w:rFonts w:hint="eastAsia" w:ascii="宋体" w:hAnsi="宋体" w:cs="宋体"/>
          <w:szCs w:val="21"/>
        </w:rPr>
        <w:t>法定代表人（签字）：</w:t>
      </w:r>
      <w:r>
        <w:rPr>
          <w:rFonts w:hint="eastAsia" w:ascii="宋体" w:hAnsi="宋体" w:cs="宋体"/>
          <w:szCs w:val="21"/>
          <w:u w:val="single"/>
          <w:lang w:val="en-US" w:eastAsia="zh-CN"/>
        </w:rPr>
        <w:t xml:space="preserve">                  </w:t>
      </w:r>
    </w:p>
    <w:p w14:paraId="521F5E5D">
      <w:pPr>
        <w:spacing w:line="500" w:lineRule="exact"/>
        <w:rPr>
          <w:rFonts w:hint="default" w:ascii="宋体" w:hAnsi="宋体" w:cs="宋体" w:eastAsiaTheme="minorEastAsia"/>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20C7A8A7">
      <w:pPr>
        <w:spacing w:line="500" w:lineRule="exact"/>
        <w:rPr>
          <w:rFonts w:hint="default" w:ascii="宋体" w:hAnsi="宋体" w:cs="宋体" w:eastAsiaTheme="minorEastAsia"/>
          <w:szCs w:val="21"/>
          <w:u w:val="single"/>
          <w:lang w:val="en-US" w:eastAsia="zh-CN"/>
        </w:rPr>
      </w:pPr>
      <w:r>
        <w:rPr>
          <w:rFonts w:hint="eastAsia" w:ascii="宋体" w:hAnsi="宋体" w:cs="宋体"/>
          <w:szCs w:val="21"/>
        </w:rPr>
        <w:t>委托代理人（签字）：</w:t>
      </w:r>
      <w:r>
        <w:rPr>
          <w:rFonts w:hint="eastAsia" w:ascii="宋体" w:hAnsi="宋体" w:cs="宋体"/>
          <w:szCs w:val="21"/>
          <w:u w:val="single"/>
          <w:lang w:val="en-US" w:eastAsia="zh-CN"/>
        </w:rPr>
        <w:t xml:space="preserve">                  </w:t>
      </w:r>
    </w:p>
    <w:p w14:paraId="732E1E77">
      <w:pPr>
        <w:spacing w:line="500" w:lineRule="exact"/>
        <w:rPr>
          <w:rFonts w:hint="default" w:ascii="宋体" w:hAnsi="宋体" w:cs="宋体" w:eastAsiaTheme="minorEastAsia"/>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0AE7393F">
      <w:pPr>
        <w:spacing w:line="50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14:paraId="5AB98771">
      <w:pPr>
        <w:widowControl/>
        <w:jc w:val="left"/>
        <w:rPr>
          <w:rFonts w:ascii="宋体" w:hAnsi="宋体" w:cs="宋体"/>
          <w:b/>
          <w:sz w:val="24"/>
        </w:rPr>
      </w:pPr>
    </w:p>
    <w:p w14:paraId="5865DF33">
      <w:pPr>
        <w:pStyle w:val="22"/>
        <w:ind w:firstLine="241"/>
        <w:rPr>
          <w:rFonts w:ascii="宋体" w:hAnsi="宋体" w:cs="宋体"/>
          <w:sz w:val="24"/>
        </w:rPr>
      </w:pPr>
    </w:p>
    <w:p w14:paraId="0EC128C6">
      <w:pPr>
        <w:pStyle w:val="22"/>
        <w:ind w:firstLine="241"/>
        <w:rPr>
          <w:rFonts w:ascii="宋体" w:hAnsi="宋体" w:cs="宋体"/>
          <w:sz w:val="24"/>
        </w:rPr>
      </w:pPr>
    </w:p>
    <w:p w14:paraId="30D758E8">
      <w:pPr>
        <w:pStyle w:val="22"/>
        <w:ind w:firstLine="241"/>
        <w:rPr>
          <w:rFonts w:ascii="宋体" w:hAnsi="宋体" w:cs="宋体"/>
          <w:sz w:val="24"/>
        </w:rPr>
      </w:pPr>
    </w:p>
    <w:p w14:paraId="2AA1E922">
      <w:pPr>
        <w:snapToGrid w:val="0"/>
        <w:spacing w:line="360" w:lineRule="auto"/>
        <w:jc w:val="center"/>
        <w:rPr>
          <w:rFonts w:ascii="宋体" w:hAnsi="宋体" w:cs="宋体"/>
          <w:b/>
          <w:sz w:val="24"/>
        </w:rPr>
      </w:pPr>
    </w:p>
    <w:p w14:paraId="6D22025D">
      <w:pPr>
        <w:snapToGrid w:val="0"/>
        <w:spacing w:line="360" w:lineRule="auto"/>
        <w:jc w:val="center"/>
        <w:rPr>
          <w:rFonts w:ascii="宋体" w:hAnsi="宋体" w:cs="宋体"/>
          <w:b/>
          <w:sz w:val="24"/>
        </w:rPr>
      </w:pPr>
    </w:p>
    <w:p w14:paraId="7817F242">
      <w:pPr>
        <w:snapToGrid w:val="0"/>
        <w:spacing w:line="360" w:lineRule="auto"/>
        <w:jc w:val="center"/>
        <w:rPr>
          <w:rFonts w:ascii="宋体" w:hAnsi="宋体" w:cs="宋体"/>
          <w:b/>
          <w:sz w:val="24"/>
        </w:rPr>
      </w:pPr>
    </w:p>
    <w:p w14:paraId="23DBD05E">
      <w:pPr>
        <w:snapToGrid w:val="0"/>
        <w:spacing w:line="360" w:lineRule="auto"/>
        <w:jc w:val="center"/>
        <w:rPr>
          <w:rFonts w:ascii="宋体" w:hAnsi="宋体" w:cs="宋体"/>
          <w:b/>
          <w:sz w:val="24"/>
        </w:rPr>
      </w:pPr>
    </w:p>
    <w:p w14:paraId="5D43CB02">
      <w:pPr>
        <w:snapToGrid w:val="0"/>
        <w:spacing w:line="360" w:lineRule="auto"/>
        <w:jc w:val="center"/>
        <w:rPr>
          <w:rFonts w:ascii="宋体" w:hAnsi="宋体" w:cs="宋体"/>
          <w:b/>
          <w:sz w:val="24"/>
        </w:rPr>
      </w:pPr>
    </w:p>
    <w:p w14:paraId="097511B3">
      <w:pPr>
        <w:snapToGrid w:val="0"/>
        <w:spacing w:line="360" w:lineRule="auto"/>
        <w:rPr>
          <w:rFonts w:ascii="宋体" w:hAnsi="宋体" w:cs="宋体"/>
          <w:b/>
          <w:sz w:val="36"/>
          <w:szCs w:val="36"/>
        </w:rPr>
        <w:sectPr>
          <w:pgSz w:w="11906" w:h="16838"/>
          <w:pgMar w:top="1440" w:right="1286" w:bottom="1440" w:left="1800" w:header="851" w:footer="992" w:gutter="0"/>
          <w:pgNumType w:fmt="decimal"/>
          <w:cols w:space="720" w:num="1"/>
          <w:titlePg/>
          <w:docGrid w:type="lines" w:linePitch="312" w:charSpace="0"/>
        </w:sectPr>
      </w:pPr>
    </w:p>
    <w:p w14:paraId="0FDF3ADA">
      <w:pPr>
        <w:snapToGrid w:val="0"/>
        <w:spacing w:line="360" w:lineRule="auto"/>
        <w:jc w:val="center"/>
        <w:outlineLvl w:val="1"/>
        <w:rPr>
          <w:rFonts w:ascii="宋体" w:hAnsi="宋体" w:cs="宋体"/>
          <w:b/>
          <w:sz w:val="32"/>
          <w:szCs w:val="32"/>
        </w:rPr>
      </w:pPr>
      <w:bookmarkStart w:id="130" w:name="_Toc15984"/>
      <w:bookmarkStart w:id="131" w:name="_Toc7115"/>
      <w:r>
        <w:rPr>
          <w:rFonts w:hint="eastAsia" w:ascii="宋体" w:hAnsi="宋体" w:cs="宋体"/>
          <w:b/>
          <w:sz w:val="32"/>
          <w:szCs w:val="32"/>
        </w:rPr>
        <w:t>五、投标人基本情况表</w:t>
      </w:r>
      <w:bookmarkEnd w:id="130"/>
      <w:bookmarkEnd w:id="131"/>
    </w:p>
    <w:tbl>
      <w:tblPr>
        <w:tblStyle w:val="2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564"/>
        <w:gridCol w:w="1967"/>
        <w:gridCol w:w="2063"/>
      </w:tblGrid>
      <w:tr w14:paraId="2B38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344" w:type="dxa"/>
            <w:vAlign w:val="center"/>
          </w:tcPr>
          <w:p w14:paraId="22878607">
            <w:pPr>
              <w:spacing w:line="380" w:lineRule="exact"/>
              <w:jc w:val="center"/>
              <w:rPr>
                <w:rFonts w:ascii="宋体" w:hAnsi="宋体" w:eastAsia="宋体" w:cs="宋体"/>
                <w:bCs/>
                <w:szCs w:val="21"/>
              </w:rPr>
            </w:pPr>
            <w:r>
              <w:rPr>
                <w:rFonts w:hint="eastAsia" w:ascii="宋体" w:hAnsi="宋体" w:eastAsia="宋体" w:cs="宋体"/>
                <w:bCs/>
                <w:szCs w:val="21"/>
              </w:rPr>
              <w:t>单位名称</w:t>
            </w:r>
          </w:p>
        </w:tc>
        <w:tc>
          <w:tcPr>
            <w:tcW w:w="2564" w:type="dxa"/>
            <w:vAlign w:val="center"/>
          </w:tcPr>
          <w:p w14:paraId="26C89D39">
            <w:pPr>
              <w:spacing w:line="380" w:lineRule="exact"/>
              <w:rPr>
                <w:rFonts w:ascii="宋体" w:hAnsi="宋体" w:eastAsia="宋体" w:cs="宋体"/>
                <w:bCs/>
                <w:szCs w:val="21"/>
              </w:rPr>
            </w:pPr>
          </w:p>
        </w:tc>
        <w:tc>
          <w:tcPr>
            <w:tcW w:w="1967" w:type="dxa"/>
            <w:vAlign w:val="center"/>
          </w:tcPr>
          <w:p w14:paraId="6F73B5A6">
            <w:pPr>
              <w:spacing w:line="380" w:lineRule="exact"/>
              <w:jc w:val="center"/>
              <w:rPr>
                <w:rFonts w:ascii="宋体" w:hAnsi="宋体" w:eastAsia="宋体" w:cs="宋体"/>
                <w:bCs/>
                <w:szCs w:val="21"/>
              </w:rPr>
            </w:pPr>
            <w:r>
              <w:rPr>
                <w:rFonts w:hint="eastAsia" w:ascii="宋体" w:hAnsi="宋体" w:eastAsia="宋体" w:cs="宋体"/>
                <w:bCs/>
                <w:szCs w:val="21"/>
              </w:rPr>
              <w:t>注册资金</w:t>
            </w:r>
          </w:p>
        </w:tc>
        <w:tc>
          <w:tcPr>
            <w:tcW w:w="2063" w:type="dxa"/>
            <w:vAlign w:val="center"/>
          </w:tcPr>
          <w:p w14:paraId="31534320">
            <w:pPr>
              <w:spacing w:line="380" w:lineRule="exact"/>
              <w:jc w:val="center"/>
              <w:rPr>
                <w:rFonts w:ascii="宋体" w:hAnsi="宋体" w:eastAsia="宋体" w:cs="宋体"/>
                <w:bCs/>
                <w:szCs w:val="21"/>
              </w:rPr>
            </w:pPr>
          </w:p>
        </w:tc>
      </w:tr>
      <w:tr w14:paraId="68BC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344" w:type="dxa"/>
            <w:vAlign w:val="center"/>
          </w:tcPr>
          <w:p w14:paraId="3D2613B5">
            <w:pPr>
              <w:spacing w:line="380" w:lineRule="exact"/>
              <w:jc w:val="center"/>
              <w:rPr>
                <w:rFonts w:ascii="宋体" w:hAnsi="宋体" w:eastAsia="宋体" w:cs="宋体"/>
                <w:bCs/>
                <w:szCs w:val="21"/>
              </w:rPr>
            </w:pPr>
            <w:r>
              <w:rPr>
                <w:rFonts w:hint="eastAsia" w:ascii="宋体" w:hAnsi="宋体" w:eastAsia="宋体" w:cs="宋体"/>
                <w:bCs/>
                <w:szCs w:val="21"/>
              </w:rPr>
              <w:t>单位详细地址</w:t>
            </w:r>
          </w:p>
        </w:tc>
        <w:tc>
          <w:tcPr>
            <w:tcW w:w="6594" w:type="dxa"/>
            <w:gridSpan w:val="3"/>
            <w:vAlign w:val="center"/>
          </w:tcPr>
          <w:p w14:paraId="20A7AFC5">
            <w:pPr>
              <w:spacing w:line="380" w:lineRule="exact"/>
              <w:rPr>
                <w:rFonts w:ascii="宋体" w:hAnsi="宋体" w:eastAsia="宋体" w:cs="宋体"/>
                <w:bCs/>
                <w:szCs w:val="21"/>
              </w:rPr>
            </w:pPr>
          </w:p>
        </w:tc>
      </w:tr>
      <w:tr w14:paraId="3093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344" w:type="dxa"/>
            <w:vAlign w:val="center"/>
          </w:tcPr>
          <w:p w14:paraId="6C9F2496">
            <w:pPr>
              <w:spacing w:line="380" w:lineRule="exact"/>
              <w:jc w:val="center"/>
              <w:rPr>
                <w:rFonts w:ascii="宋体" w:hAnsi="宋体" w:eastAsia="宋体" w:cs="宋体"/>
                <w:bCs/>
                <w:szCs w:val="21"/>
              </w:rPr>
            </w:pPr>
            <w:r>
              <w:rPr>
                <w:rFonts w:hint="eastAsia" w:ascii="宋体" w:hAnsi="宋体" w:eastAsia="宋体" w:cs="宋体"/>
                <w:bCs/>
                <w:szCs w:val="21"/>
              </w:rPr>
              <w:t>营业执照注册号</w:t>
            </w:r>
          </w:p>
        </w:tc>
        <w:tc>
          <w:tcPr>
            <w:tcW w:w="6594" w:type="dxa"/>
            <w:gridSpan w:val="3"/>
            <w:vAlign w:val="center"/>
          </w:tcPr>
          <w:p w14:paraId="24A1D9DE">
            <w:pPr>
              <w:spacing w:line="380" w:lineRule="exact"/>
              <w:rPr>
                <w:rFonts w:ascii="宋体" w:hAnsi="宋体" w:eastAsia="宋体" w:cs="宋体"/>
                <w:bCs/>
                <w:szCs w:val="21"/>
              </w:rPr>
            </w:pPr>
          </w:p>
        </w:tc>
      </w:tr>
      <w:tr w14:paraId="6297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344" w:type="dxa"/>
            <w:vAlign w:val="center"/>
          </w:tcPr>
          <w:p w14:paraId="2D24B410">
            <w:pPr>
              <w:spacing w:line="380" w:lineRule="exact"/>
              <w:jc w:val="center"/>
              <w:rPr>
                <w:rFonts w:ascii="宋体" w:hAnsi="宋体" w:eastAsia="宋体" w:cs="宋体"/>
                <w:bCs/>
                <w:szCs w:val="21"/>
              </w:rPr>
            </w:pPr>
            <w:r>
              <w:rPr>
                <w:rFonts w:hint="eastAsia" w:ascii="宋体" w:hAnsi="宋体" w:eastAsia="宋体" w:cs="宋体"/>
                <w:bCs/>
                <w:szCs w:val="21"/>
              </w:rPr>
              <w:t>单位成立时间</w:t>
            </w:r>
          </w:p>
        </w:tc>
        <w:tc>
          <w:tcPr>
            <w:tcW w:w="6594" w:type="dxa"/>
            <w:gridSpan w:val="3"/>
            <w:vAlign w:val="center"/>
          </w:tcPr>
          <w:p w14:paraId="2ACB5FCC">
            <w:pPr>
              <w:spacing w:line="380" w:lineRule="exact"/>
              <w:rPr>
                <w:rFonts w:ascii="宋体" w:hAnsi="宋体" w:eastAsia="宋体" w:cs="宋体"/>
                <w:bCs/>
                <w:szCs w:val="21"/>
              </w:rPr>
            </w:pPr>
          </w:p>
        </w:tc>
      </w:tr>
      <w:tr w14:paraId="4C99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344" w:type="dxa"/>
            <w:vAlign w:val="center"/>
          </w:tcPr>
          <w:p w14:paraId="211507A9">
            <w:pPr>
              <w:spacing w:line="380" w:lineRule="exact"/>
              <w:jc w:val="center"/>
              <w:rPr>
                <w:rFonts w:ascii="宋体" w:hAnsi="宋体" w:eastAsia="宋体" w:cs="宋体"/>
                <w:bCs/>
                <w:szCs w:val="21"/>
              </w:rPr>
            </w:pPr>
            <w:r>
              <w:rPr>
                <w:rFonts w:hint="eastAsia" w:ascii="宋体" w:hAnsi="宋体" w:eastAsia="宋体" w:cs="宋体"/>
                <w:bCs/>
                <w:szCs w:val="21"/>
              </w:rPr>
              <w:t>企业执业资格</w:t>
            </w:r>
          </w:p>
        </w:tc>
        <w:tc>
          <w:tcPr>
            <w:tcW w:w="6594" w:type="dxa"/>
            <w:gridSpan w:val="3"/>
            <w:vAlign w:val="center"/>
          </w:tcPr>
          <w:p w14:paraId="79BB8EF7">
            <w:pPr>
              <w:spacing w:line="380" w:lineRule="exact"/>
              <w:rPr>
                <w:rFonts w:ascii="宋体" w:hAnsi="宋体" w:eastAsia="宋体" w:cs="宋体"/>
                <w:bCs/>
                <w:szCs w:val="21"/>
              </w:rPr>
            </w:pPr>
          </w:p>
        </w:tc>
      </w:tr>
      <w:tr w14:paraId="3AD4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344" w:type="dxa"/>
            <w:vAlign w:val="center"/>
          </w:tcPr>
          <w:p w14:paraId="62B39797">
            <w:pPr>
              <w:spacing w:line="380" w:lineRule="exact"/>
              <w:jc w:val="center"/>
              <w:rPr>
                <w:rFonts w:ascii="宋体" w:hAnsi="宋体" w:eastAsia="宋体" w:cs="宋体"/>
                <w:bCs/>
                <w:szCs w:val="21"/>
              </w:rPr>
            </w:pPr>
            <w:r>
              <w:rPr>
                <w:rFonts w:hint="eastAsia" w:ascii="宋体" w:hAnsi="宋体" w:eastAsia="宋体" w:cs="宋体"/>
                <w:bCs/>
                <w:szCs w:val="21"/>
              </w:rPr>
              <w:t>法定代表人</w:t>
            </w:r>
          </w:p>
        </w:tc>
        <w:tc>
          <w:tcPr>
            <w:tcW w:w="6594" w:type="dxa"/>
            <w:gridSpan w:val="3"/>
            <w:vAlign w:val="center"/>
          </w:tcPr>
          <w:p w14:paraId="6D06C99F">
            <w:pPr>
              <w:spacing w:line="380" w:lineRule="exact"/>
              <w:rPr>
                <w:rFonts w:ascii="宋体" w:hAnsi="宋体" w:eastAsia="宋体" w:cs="宋体"/>
                <w:bCs/>
                <w:szCs w:val="21"/>
              </w:rPr>
            </w:pPr>
            <w:r>
              <w:rPr>
                <w:rFonts w:hint="eastAsia" w:ascii="宋体" w:hAnsi="宋体" w:eastAsia="宋体" w:cs="宋体"/>
                <w:bCs/>
                <w:szCs w:val="21"/>
              </w:rPr>
              <w:t>姓名：     职务：     职称：</w:t>
            </w:r>
          </w:p>
        </w:tc>
      </w:tr>
      <w:tr w14:paraId="1ECC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344" w:type="dxa"/>
            <w:vAlign w:val="center"/>
          </w:tcPr>
          <w:p w14:paraId="394AC807">
            <w:pPr>
              <w:spacing w:line="380" w:lineRule="exact"/>
              <w:jc w:val="center"/>
              <w:rPr>
                <w:rFonts w:ascii="宋体" w:hAnsi="宋体" w:eastAsia="宋体" w:cs="宋体"/>
                <w:bCs/>
                <w:szCs w:val="21"/>
              </w:rPr>
            </w:pPr>
            <w:r>
              <w:rPr>
                <w:rFonts w:hint="eastAsia" w:ascii="宋体" w:hAnsi="宋体" w:eastAsia="宋体" w:cs="宋体"/>
                <w:bCs/>
                <w:szCs w:val="21"/>
              </w:rPr>
              <w:t>职工人数</w:t>
            </w:r>
          </w:p>
        </w:tc>
        <w:tc>
          <w:tcPr>
            <w:tcW w:w="6594" w:type="dxa"/>
            <w:gridSpan w:val="3"/>
            <w:vAlign w:val="center"/>
          </w:tcPr>
          <w:p w14:paraId="39760B86">
            <w:pPr>
              <w:spacing w:line="380" w:lineRule="exact"/>
              <w:jc w:val="left"/>
              <w:rPr>
                <w:rFonts w:ascii="宋体" w:hAnsi="宋体" w:eastAsia="宋体" w:cs="宋体"/>
                <w:bCs/>
                <w:szCs w:val="21"/>
              </w:rPr>
            </w:pPr>
          </w:p>
        </w:tc>
      </w:tr>
      <w:tr w14:paraId="1356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2344" w:type="dxa"/>
            <w:vAlign w:val="center"/>
          </w:tcPr>
          <w:p w14:paraId="3971B65E">
            <w:pPr>
              <w:spacing w:line="300" w:lineRule="exact"/>
              <w:jc w:val="center"/>
              <w:rPr>
                <w:rFonts w:ascii="宋体" w:hAnsi="宋体" w:eastAsia="宋体" w:cs="宋体"/>
                <w:bCs/>
                <w:szCs w:val="21"/>
              </w:rPr>
            </w:pPr>
            <w:r>
              <w:rPr>
                <w:rFonts w:hint="eastAsia" w:ascii="宋体" w:hAnsi="宋体" w:eastAsia="宋体" w:cs="宋体"/>
                <w:bCs/>
                <w:szCs w:val="21"/>
              </w:rPr>
              <w:t>具有中高级以上职称的职工人数</w:t>
            </w:r>
          </w:p>
        </w:tc>
        <w:tc>
          <w:tcPr>
            <w:tcW w:w="6594" w:type="dxa"/>
            <w:gridSpan w:val="3"/>
            <w:vAlign w:val="center"/>
          </w:tcPr>
          <w:p w14:paraId="74DB85E2">
            <w:pPr>
              <w:spacing w:line="380" w:lineRule="exact"/>
              <w:jc w:val="left"/>
              <w:rPr>
                <w:rFonts w:ascii="宋体" w:hAnsi="宋体" w:eastAsia="宋体" w:cs="宋体"/>
                <w:bCs/>
                <w:szCs w:val="21"/>
              </w:rPr>
            </w:pPr>
          </w:p>
        </w:tc>
      </w:tr>
      <w:tr w14:paraId="3472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2344" w:type="dxa"/>
            <w:vAlign w:val="center"/>
          </w:tcPr>
          <w:p w14:paraId="786D2F92">
            <w:pPr>
              <w:spacing w:line="380" w:lineRule="exact"/>
              <w:jc w:val="center"/>
              <w:rPr>
                <w:rFonts w:ascii="宋体" w:hAnsi="宋体" w:eastAsia="宋体" w:cs="宋体"/>
                <w:bCs/>
                <w:szCs w:val="21"/>
              </w:rPr>
            </w:pPr>
            <w:r>
              <w:rPr>
                <w:rFonts w:hint="eastAsia" w:ascii="宋体" w:hAnsi="宋体" w:eastAsia="宋体" w:cs="宋体"/>
                <w:bCs/>
                <w:szCs w:val="21"/>
              </w:rPr>
              <w:t>联系方式</w:t>
            </w:r>
          </w:p>
        </w:tc>
        <w:tc>
          <w:tcPr>
            <w:tcW w:w="6594" w:type="dxa"/>
            <w:gridSpan w:val="3"/>
            <w:vAlign w:val="center"/>
          </w:tcPr>
          <w:p w14:paraId="09573A5E">
            <w:pPr>
              <w:spacing w:line="240" w:lineRule="exact"/>
              <w:rPr>
                <w:rFonts w:ascii="宋体" w:hAnsi="宋体" w:eastAsia="宋体" w:cs="宋体"/>
                <w:bCs/>
                <w:szCs w:val="21"/>
              </w:rPr>
            </w:pPr>
            <w:r>
              <w:rPr>
                <w:rFonts w:hint="eastAsia" w:ascii="宋体" w:hAnsi="宋体" w:eastAsia="宋体" w:cs="宋体"/>
                <w:bCs/>
                <w:szCs w:val="21"/>
              </w:rPr>
              <w:t>地址：</w:t>
            </w:r>
            <w:r>
              <w:rPr>
                <w:rFonts w:hint="eastAsia" w:ascii="宋体" w:hAnsi="宋体" w:eastAsia="宋体" w:cs="宋体"/>
                <w:bCs/>
                <w:szCs w:val="21"/>
                <w:lang w:val="en-US" w:eastAsia="zh-CN"/>
              </w:rPr>
              <w:t xml:space="preserve">                </w:t>
            </w:r>
            <w:r>
              <w:rPr>
                <w:rFonts w:hint="eastAsia" w:ascii="宋体" w:hAnsi="宋体" w:eastAsia="宋体" w:cs="宋体"/>
                <w:bCs/>
                <w:szCs w:val="21"/>
              </w:rPr>
              <w:t>邮编：</w:t>
            </w:r>
          </w:p>
          <w:p w14:paraId="254F34E8">
            <w:pPr>
              <w:spacing w:line="240" w:lineRule="exact"/>
              <w:rPr>
                <w:rFonts w:ascii="宋体" w:hAnsi="宋体" w:eastAsia="宋体" w:cs="宋体"/>
                <w:bCs/>
                <w:szCs w:val="21"/>
              </w:rPr>
            </w:pPr>
            <w:r>
              <w:rPr>
                <w:rFonts w:hint="eastAsia" w:ascii="宋体" w:hAnsi="宋体" w:eastAsia="宋体" w:cs="宋体"/>
                <w:bCs/>
                <w:szCs w:val="21"/>
              </w:rPr>
              <w:t>电话传真：</w:t>
            </w:r>
          </w:p>
        </w:tc>
      </w:tr>
      <w:tr w14:paraId="7E19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344" w:type="dxa"/>
            <w:vAlign w:val="center"/>
          </w:tcPr>
          <w:p w14:paraId="52FED550">
            <w:pPr>
              <w:spacing w:line="380" w:lineRule="exact"/>
              <w:jc w:val="center"/>
              <w:rPr>
                <w:rFonts w:ascii="宋体" w:hAnsi="宋体" w:eastAsia="宋体" w:cs="宋体"/>
                <w:bCs/>
                <w:szCs w:val="21"/>
              </w:rPr>
            </w:pPr>
            <w:r>
              <w:rPr>
                <w:rFonts w:hint="eastAsia" w:ascii="宋体" w:hAnsi="宋体" w:eastAsia="宋体" w:cs="宋体"/>
                <w:bCs/>
                <w:szCs w:val="21"/>
              </w:rPr>
              <w:t>开户银行</w:t>
            </w:r>
          </w:p>
        </w:tc>
        <w:tc>
          <w:tcPr>
            <w:tcW w:w="6594" w:type="dxa"/>
            <w:gridSpan w:val="3"/>
            <w:vAlign w:val="center"/>
          </w:tcPr>
          <w:p w14:paraId="24231BEB">
            <w:pPr>
              <w:spacing w:line="240" w:lineRule="exact"/>
              <w:rPr>
                <w:rFonts w:ascii="宋体" w:hAnsi="宋体" w:eastAsia="宋体" w:cs="宋体"/>
                <w:bCs/>
                <w:szCs w:val="21"/>
              </w:rPr>
            </w:pPr>
            <w:r>
              <w:rPr>
                <w:rFonts w:hint="eastAsia" w:ascii="宋体" w:hAnsi="宋体" w:eastAsia="宋体" w:cs="宋体"/>
                <w:bCs/>
                <w:szCs w:val="21"/>
              </w:rPr>
              <w:t>名称：</w:t>
            </w:r>
          </w:p>
          <w:p w14:paraId="0D4A9A27">
            <w:pPr>
              <w:spacing w:line="240" w:lineRule="exact"/>
              <w:rPr>
                <w:rFonts w:ascii="宋体" w:hAnsi="宋体" w:eastAsia="宋体" w:cs="宋体"/>
                <w:bCs/>
                <w:szCs w:val="21"/>
              </w:rPr>
            </w:pPr>
            <w:r>
              <w:rPr>
                <w:rFonts w:hint="eastAsia" w:ascii="宋体" w:hAnsi="宋体" w:eastAsia="宋体" w:cs="宋体"/>
                <w:bCs/>
                <w:szCs w:val="21"/>
              </w:rPr>
              <w:t>帐号：</w:t>
            </w:r>
          </w:p>
        </w:tc>
      </w:tr>
    </w:tbl>
    <w:p w14:paraId="2BC5862B">
      <w:pPr>
        <w:spacing w:line="360" w:lineRule="auto"/>
        <w:rPr>
          <w:rFonts w:ascii="宋体" w:hAnsi="宋体" w:cs="宋体"/>
          <w:sz w:val="24"/>
        </w:rPr>
      </w:pPr>
    </w:p>
    <w:p w14:paraId="0EA367BF">
      <w:pPr>
        <w:pStyle w:val="22"/>
        <w:ind w:firstLine="241"/>
        <w:rPr>
          <w:rFonts w:ascii="宋体" w:hAnsi="宋体" w:cs="宋体"/>
          <w:sz w:val="24"/>
        </w:rPr>
      </w:pPr>
    </w:p>
    <w:p w14:paraId="53C2B0BA">
      <w:pPr>
        <w:spacing w:line="360" w:lineRule="auto"/>
        <w:rPr>
          <w:rFonts w:ascii="宋体" w:hAnsi="宋体" w:cs="宋体"/>
          <w:b/>
          <w:kern w:val="0"/>
          <w:szCs w:val="21"/>
        </w:rPr>
      </w:pPr>
      <w:r>
        <w:rPr>
          <w:rFonts w:hint="eastAsia" w:ascii="宋体" w:hAnsi="宋体" w:cs="宋体"/>
          <w:szCs w:val="21"/>
        </w:rPr>
        <w:t>注: 1. 在本表后应附投标人营业执照副本的复印件并加盖单位公章。</w:t>
      </w:r>
    </w:p>
    <w:p w14:paraId="7CFF25AC">
      <w:pPr>
        <w:spacing w:line="360" w:lineRule="auto"/>
        <w:rPr>
          <w:rFonts w:ascii="宋体" w:hAnsi="宋体" w:cs="宋体"/>
          <w:sz w:val="24"/>
        </w:rPr>
      </w:pPr>
    </w:p>
    <w:p w14:paraId="6EB1E348">
      <w:pPr>
        <w:widowControl/>
        <w:spacing w:line="360" w:lineRule="auto"/>
        <w:rPr>
          <w:rFonts w:ascii="宋体" w:hAnsi="宋体" w:cs="宋体"/>
          <w:b/>
          <w:bCs/>
          <w:kern w:val="0"/>
          <w:sz w:val="24"/>
        </w:rPr>
      </w:pPr>
    </w:p>
    <w:p w14:paraId="2547305F">
      <w:pPr>
        <w:pStyle w:val="21"/>
        <w:jc w:val="both"/>
        <w:outlineLvl w:val="9"/>
        <w:rPr>
          <w:rFonts w:cs="宋体"/>
          <w:sz w:val="24"/>
          <w:szCs w:val="24"/>
        </w:rPr>
      </w:pPr>
    </w:p>
    <w:p w14:paraId="6BC91CB6">
      <w:pPr>
        <w:pStyle w:val="21"/>
        <w:outlineLvl w:val="9"/>
        <w:rPr>
          <w:rFonts w:cs="宋体"/>
          <w:sz w:val="24"/>
          <w:szCs w:val="24"/>
        </w:rPr>
      </w:pPr>
    </w:p>
    <w:p w14:paraId="1F10F0A4">
      <w:pPr>
        <w:pStyle w:val="21"/>
        <w:jc w:val="both"/>
        <w:outlineLvl w:val="9"/>
        <w:rPr>
          <w:rFonts w:cs="宋体"/>
          <w:sz w:val="24"/>
          <w:szCs w:val="24"/>
        </w:rPr>
        <w:sectPr>
          <w:pgSz w:w="11906" w:h="16838"/>
          <w:pgMar w:top="1440" w:right="1286" w:bottom="1440" w:left="1800" w:header="851" w:footer="992" w:gutter="0"/>
          <w:pgNumType w:fmt="decimal"/>
          <w:cols w:space="720" w:num="1"/>
          <w:titlePg/>
          <w:docGrid w:type="lines" w:linePitch="312" w:charSpace="0"/>
        </w:sectPr>
      </w:pPr>
    </w:p>
    <w:p w14:paraId="6ECDC2B6">
      <w:pPr>
        <w:widowControl/>
        <w:spacing w:line="360" w:lineRule="auto"/>
        <w:jc w:val="center"/>
        <w:outlineLvl w:val="1"/>
        <w:rPr>
          <w:rFonts w:ascii="宋体" w:hAnsi="宋体" w:cs="宋体"/>
          <w:b/>
          <w:bCs/>
          <w:kern w:val="0"/>
          <w:sz w:val="32"/>
          <w:szCs w:val="32"/>
        </w:rPr>
      </w:pPr>
      <w:bookmarkStart w:id="132" w:name="_Toc3646"/>
      <w:bookmarkStart w:id="133" w:name="_Toc19735"/>
      <w:r>
        <w:rPr>
          <w:rFonts w:hint="eastAsia" w:ascii="宋体" w:hAnsi="宋体" w:cs="宋体"/>
          <w:b/>
          <w:bCs/>
          <w:kern w:val="0"/>
          <w:sz w:val="32"/>
          <w:szCs w:val="32"/>
        </w:rPr>
        <w:t>六、服务方案</w:t>
      </w:r>
      <w:bookmarkEnd w:id="132"/>
      <w:bookmarkEnd w:id="133"/>
    </w:p>
    <w:p w14:paraId="348A74A5">
      <w:pPr>
        <w:widowControl/>
        <w:spacing w:line="360" w:lineRule="auto"/>
        <w:rPr>
          <w:rFonts w:ascii="宋体" w:hAnsi="宋体" w:cs="宋体"/>
          <w:kern w:val="0"/>
          <w:sz w:val="24"/>
        </w:rPr>
      </w:pPr>
    </w:p>
    <w:p w14:paraId="126A5F14">
      <w:pPr>
        <w:widowControl/>
        <w:spacing w:line="500" w:lineRule="exact"/>
        <w:jc w:val="center"/>
        <w:rPr>
          <w:rFonts w:ascii="宋体" w:hAnsi="宋体" w:cs="宋体"/>
          <w:kern w:val="0"/>
          <w:szCs w:val="21"/>
        </w:rPr>
      </w:pPr>
      <w:r>
        <w:rPr>
          <w:rFonts w:hint="eastAsia" w:ascii="宋体" w:hAnsi="宋体" w:cs="宋体"/>
          <w:kern w:val="0"/>
          <w:szCs w:val="21"/>
        </w:rPr>
        <w:t>（投标人自行编制）</w:t>
      </w:r>
    </w:p>
    <w:p w14:paraId="2110365E">
      <w:pPr>
        <w:pStyle w:val="22"/>
        <w:spacing w:line="500" w:lineRule="exact"/>
        <w:ind w:firstLine="211"/>
        <w:rPr>
          <w:rFonts w:ascii="宋体" w:hAnsi="宋体" w:cs="宋体"/>
          <w:sz w:val="21"/>
          <w:szCs w:val="21"/>
        </w:rPr>
      </w:pPr>
    </w:p>
    <w:p w14:paraId="41DBA866">
      <w:pPr>
        <w:pStyle w:val="22"/>
        <w:spacing w:line="500" w:lineRule="exact"/>
        <w:ind w:firstLine="211"/>
        <w:rPr>
          <w:rFonts w:ascii="宋体" w:hAnsi="宋体" w:cs="宋体"/>
          <w:sz w:val="21"/>
          <w:szCs w:val="21"/>
        </w:rPr>
      </w:pPr>
    </w:p>
    <w:p w14:paraId="650B046D">
      <w:pPr>
        <w:pStyle w:val="22"/>
        <w:spacing w:line="500" w:lineRule="exact"/>
        <w:ind w:firstLine="211"/>
        <w:rPr>
          <w:rFonts w:ascii="宋体" w:hAnsi="宋体" w:cs="宋体"/>
          <w:sz w:val="21"/>
          <w:szCs w:val="21"/>
        </w:rPr>
      </w:pPr>
    </w:p>
    <w:p w14:paraId="05641B93">
      <w:pPr>
        <w:pStyle w:val="22"/>
        <w:spacing w:line="500" w:lineRule="exact"/>
        <w:ind w:firstLine="211"/>
        <w:rPr>
          <w:rFonts w:ascii="宋体" w:hAnsi="宋体" w:cs="宋体"/>
          <w:sz w:val="21"/>
          <w:szCs w:val="21"/>
        </w:rPr>
      </w:pPr>
    </w:p>
    <w:p w14:paraId="244462EF">
      <w:pPr>
        <w:pStyle w:val="22"/>
        <w:spacing w:line="500" w:lineRule="exact"/>
        <w:ind w:firstLine="211"/>
        <w:rPr>
          <w:rFonts w:ascii="宋体" w:hAnsi="宋体" w:cs="宋体"/>
          <w:sz w:val="21"/>
          <w:szCs w:val="21"/>
        </w:rPr>
      </w:pPr>
    </w:p>
    <w:p w14:paraId="54D6BA38">
      <w:pPr>
        <w:widowControl/>
        <w:spacing w:line="500" w:lineRule="exact"/>
        <w:rPr>
          <w:rFonts w:ascii="宋体" w:hAnsi="宋体" w:cs="宋体"/>
          <w:kern w:val="0"/>
          <w:szCs w:val="21"/>
        </w:rPr>
      </w:pPr>
    </w:p>
    <w:p w14:paraId="1528DD2B">
      <w:pPr>
        <w:widowControl/>
        <w:spacing w:line="500" w:lineRule="exact"/>
        <w:jc w:val="center"/>
        <w:rPr>
          <w:rFonts w:ascii="宋体" w:hAnsi="宋体" w:cs="宋体"/>
          <w:b/>
          <w:bCs/>
          <w:kern w:val="0"/>
          <w:szCs w:val="21"/>
        </w:rPr>
      </w:pPr>
    </w:p>
    <w:p w14:paraId="5B8238AA">
      <w:pPr>
        <w:pStyle w:val="16"/>
        <w:rPr>
          <w:rFonts w:ascii="宋体" w:hAnsi="宋体" w:cs="宋体"/>
          <w:b/>
          <w:bCs/>
          <w:kern w:val="0"/>
          <w:szCs w:val="21"/>
        </w:rPr>
      </w:pPr>
    </w:p>
    <w:p w14:paraId="1BE3BF9C">
      <w:pPr>
        <w:pStyle w:val="16"/>
        <w:rPr>
          <w:rFonts w:ascii="宋体" w:hAnsi="宋体" w:cs="宋体"/>
          <w:b/>
          <w:bCs/>
          <w:kern w:val="0"/>
          <w:szCs w:val="21"/>
        </w:rPr>
      </w:pPr>
    </w:p>
    <w:p w14:paraId="2FE8B840">
      <w:pPr>
        <w:pStyle w:val="16"/>
        <w:rPr>
          <w:rFonts w:ascii="宋体" w:hAnsi="宋体" w:cs="宋体"/>
          <w:b/>
          <w:bCs/>
          <w:kern w:val="0"/>
          <w:szCs w:val="21"/>
        </w:rPr>
      </w:pPr>
    </w:p>
    <w:p w14:paraId="3FC21AAC">
      <w:pPr>
        <w:pStyle w:val="16"/>
        <w:rPr>
          <w:rFonts w:ascii="宋体" w:hAnsi="宋体" w:cs="宋体"/>
          <w:b/>
          <w:bCs/>
          <w:kern w:val="0"/>
          <w:szCs w:val="21"/>
        </w:rPr>
      </w:pPr>
    </w:p>
    <w:p w14:paraId="72906ADB">
      <w:pPr>
        <w:pStyle w:val="16"/>
        <w:rPr>
          <w:rFonts w:ascii="宋体" w:hAnsi="宋体" w:cs="宋体"/>
          <w:b/>
          <w:bCs/>
          <w:kern w:val="0"/>
          <w:szCs w:val="21"/>
        </w:rPr>
      </w:pPr>
    </w:p>
    <w:p w14:paraId="085B9FBB">
      <w:pPr>
        <w:pStyle w:val="16"/>
        <w:rPr>
          <w:rFonts w:ascii="宋体" w:hAnsi="宋体" w:cs="宋体"/>
          <w:b/>
          <w:bCs/>
          <w:kern w:val="0"/>
          <w:szCs w:val="21"/>
        </w:rPr>
      </w:pPr>
    </w:p>
    <w:p w14:paraId="5700A8A6">
      <w:pPr>
        <w:widowControl/>
        <w:spacing w:line="360" w:lineRule="auto"/>
        <w:rPr>
          <w:rFonts w:ascii="宋体" w:hAnsi="宋体" w:cs="宋体"/>
          <w:b/>
          <w:bCs/>
          <w:kern w:val="0"/>
          <w:sz w:val="24"/>
        </w:rPr>
      </w:pPr>
    </w:p>
    <w:p w14:paraId="6CEE0086">
      <w:pPr>
        <w:pStyle w:val="3"/>
        <w:spacing w:before="156"/>
        <w:outlineLvl w:val="9"/>
        <w:rPr>
          <w:rFonts w:cs="宋体"/>
          <w:kern w:val="0"/>
        </w:rPr>
      </w:pPr>
    </w:p>
    <w:p w14:paraId="78572717">
      <w:pPr>
        <w:rPr>
          <w:rFonts w:ascii="宋体" w:hAnsi="宋体" w:cs="宋体"/>
          <w:b/>
          <w:bCs/>
          <w:kern w:val="0"/>
          <w:sz w:val="24"/>
        </w:rPr>
      </w:pPr>
    </w:p>
    <w:p w14:paraId="5237B01C">
      <w:pPr>
        <w:pStyle w:val="3"/>
        <w:spacing w:before="156"/>
        <w:outlineLvl w:val="9"/>
        <w:rPr>
          <w:rFonts w:cs="宋体"/>
          <w:kern w:val="0"/>
        </w:rPr>
      </w:pPr>
    </w:p>
    <w:p w14:paraId="5D87BA8C">
      <w:pPr>
        <w:rPr>
          <w:rFonts w:ascii="宋体" w:hAnsi="宋体" w:cs="宋体"/>
          <w:b/>
          <w:bCs/>
          <w:kern w:val="0"/>
          <w:sz w:val="24"/>
        </w:rPr>
      </w:pPr>
    </w:p>
    <w:p w14:paraId="494FB952">
      <w:pPr>
        <w:pStyle w:val="3"/>
        <w:spacing w:before="156"/>
        <w:outlineLvl w:val="9"/>
        <w:rPr>
          <w:rFonts w:cs="宋体"/>
          <w:kern w:val="0"/>
        </w:rPr>
      </w:pPr>
    </w:p>
    <w:p w14:paraId="09FD7876">
      <w:pPr>
        <w:rPr>
          <w:rFonts w:ascii="宋体" w:hAnsi="宋体" w:cs="宋体"/>
          <w:b/>
          <w:bCs/>
          <w:kern w:val="0"/>
          <w:sz w:val="24"/>
        </w:rPr>
      </w:pPr>
    </w:p>
    <w:p w14:paraId="56B3B6E9">
      <w:pPr>
        <w:pStyle w:val="3"/>
        <w:spacing w:before="156"/>
        <w:outlineLvl w:val="9"/>
        <w:rPr>
          <w:rFonts w:cs="宋体"/>
          <w:kern w:val="0"/>
        </w:rPr>
      </w:pPr>
    </w:p>
    <w:p w14:paraId="63E16BD8">
      <w:pPr>
        <w:rPr>
          <w:rFonts w:ascii="宋体" w:hAnsi="宋体" w:cs="宋体"/>
          <w:b/>
          <w:bCs/>
          <w:kern w:val="0"/>
          <w:sz w:val="24"/>
        </w:rPr>
      </w:pPr>
    </w:p>
    <w:p w14:paraId="2445FF48">
      <w:pPr>
        <w:pStyle w:val="3"/>
        <w:spacing w:before="156"/>
        <w:outlineLvl w:val="9"/>
        <w:rPr>
          <w:rFonts w:cs="宋体"/>
          <w:kern w:val="0"/>
        </w:rPr>
      </w:pPr>
    </w:p>
    <w:p w14:paraId="7698E322">
      <w:pPr>
        <w:rPr>
          <w:rFonts w:ascii="宋体" w:hAnsi="宋体" w:cs="宋体"/>
          <w:b/>
          <w:bCs/>
          <w:kern w:val="0"/>
          <w:sz w:val="24"/>
        </w:rPr>
      </w:pPr>
    </w:p>
    <w:p w14:paraId="545193E1">
      <w:pPr>
        <w:pStyle w:val="3"/>
        <w:spacing w:before="156"/>
        <w:outlineLvl w:val="9"/>
        <w:rPr>
          <w:rFonts w:cs="宋体"/>
          <w:kern w:val="0"/>
        </w:rPr>
      </w:pPr>
    </w:p>
    <w:p w14:paraId="30BE2A7F">
      <w:pPr>
        <w:rPr>
          <w:rFonts w:ascii="宋体" w:hAnsi="宋体" w:cs="宋体"/>
          <w:b/>
          <w:bCs/>
          <w:kern w:val="0"/>
          <w:sz w:val="24"/>
        </w:rPr>
      </w:pPr>
    </w:p>
    <w:p w14:paraId="2A39C839">
      <w:pPr>
        <w:pStyle w:val="3"/>
        <w:spacing w:before="156"/>
        <w:outlineLvl w:val="9"/>
        <w:rPr>
          <w:rFonts w:cs="宋体"/>
          <w:kern w:val="0"/>
        </w:rPr>
      </w:pPr>
    </w:p>
    <w:p w14:paraId="5D6A4522">
      <w:pPr>
        <w:rPr>
          <w:rFonts w:ascii="宋体" w:hAnsi="宋体" w:cs="宋体"/>
          <w:b/>
          <w:bCs/>
          <w:kern w:val="0"/>
          <w:sz w:val="24"/>
        </w:rPr>
      </w:pPr>
    </w:p>
    <w:p w14:paraId="5BAD1781">
      <w:pPr>
        <w:pStyle w:val="3"/>
        <w:spacing w:before="156"/>
        <w:outlineLvl w:val="9"/>
        <w:rPr>
          <w:rFonts w:cs="宋体"/>
          <w:kern w:val="0"/>
        </w:rPr>
      </w:pPr>
    </w:p>
    <w:p w14:paraId="300259C9">
      <w:pPr>
        <w:rPr>
          <w:rFonts w:ascii="宋体" w:hAnsi="宋体" w:cs="宋体"/>
          <w:b/>
          <w:bCs/>
          <w:kern w:val="0"/>
          <w:sz w:val="24"/>
        </w:rPr>
      </w:pPr>
    </w:p>
    <w:p w14:paraId="0F90C922">
      <w:pPr>
        <w:widowControl/>
        <w:spacing w:line="360" w:lineRule="auto"/>
        <w:jc w:val="center"/>
        <w:rPr>
          <w:rFonts w:hint="eastAsia" w:ascii="宋体" w:hAnsi="宋体" w:cs="宋体" w:eastAsiaTheme="minorEastAsia"/>
          <w:kern w:val="0"/>
          <w:sz w:val="32"/>
          <w:szCs w:val="32"/>
          <w:lang w:eastAsia="zh-CN"/>
        </w:rPr>
      </w:pPr>
      <w:r>
        <w:rPr>
          <w:rFonts w:hint="eastAsia" w:ascii="宋体" w:hAnsi="宋体" w:cs="宋体"/>
          <w:b/>
          <w:bCs/>
          <w:kern w:val="0"/>
          <w:sz w:val="32"/>
          <w:szCs w:val="32"/>
          <w:lang w:eastAsia="zh-CN"/>
        </w:rPr>
        <w:t>七</w:t>
      </w:r>
      <w:r>
        <w:rPr>
          <w:rFonts w:hint="eastAsia" w:ascii="宋体" w:hAnsi="宋体" w:cs="宋体"/>
          <w:b/>
          <w:bCs/>
          <w:kern w:val="0"/>
          <w:sz w:val="32"/>
          <w:szCs w:val="32"/>
        </w:rPr>
        <w:t>、资格证明</w:t>
      </w:r>
      <w:r>
        <w:rPr>
          <w:rFonts w:hint="eastAsia" w:ascii="宋体" w:hAnsi="宋体" w:cs="宋体"/>
          <w:b/>
          <w:bCs/>
          <w:kern w:val="0"/>
          <w:sz w:val="32"/>
          <w:szCs w:val="32"/>
          <w:lang w:eastAsia="zh-CN"/>
        </w:rPr>
        <w:t>材料</w:t>
      </w:r>
    </w:p>
    <w:p w14:paraId="3AA16197">
      <w:pPr>
        <w:spacing w:line="460" w:lineRule="exact"/>
        <w:ind w:firstLine="480"/>
        <w:rPr>
          <w:rFonts w:ascii="宋体" w:hAnsi="宋体" w:cs="宋体"/>
          <w:sz w:val="24"/>
        </w:rPr>
      </w:pPr>
    </w:p>
    <w:p w14:paraId="75445463">
      <w:pPr>
        <w:spacing w:line="460" w:lineRule="exact"/>
        <w:ind w:firstLine="480"/>
        <w:rPr>
          <w:rFonts w:ascii="宋体" w:hAnsi="宋体" w:eastAsia="宋体" w:cs="宋体"/>
          <w:szCs w:val="21"/>
        </w:rPr>
      </w:pPr>
    </w:p>
    <w:p w14:paraId="5C4BBD31">
      <w:pPr>
        <w:pStyle w:val="2"/>
        <w:outlineLvl w:val="9"/>
        <w:rPr>
          <w:rFonts w:ascii="宋体" w:hAnsi="宋体" w:eastAsia="宋体" w:cs="宋体"/>
          <w:szCs w:val="21"/>
        </w:rPr>
      </w:pPr>
    </w:p>
    <w:p w14:paraId="55B50805">
      <w:pPr>
        <w:rPr>
          <w:rFonts w:ascii="宋体" w:hAnsi="宋体" w:eastAsia="宋体" w:cs="宋体"/>
          <w:szCs w:val="21"/>
        </w:rPr>
      </w:pPr>
    </w:p>
    <w:p w14:paraId="5FDB4822">
      <w:pPr>
        <w:pStyle w:val="2"/>
        <w:outlineLvl w:val="9"/>
      </w:pPr>
    </w:p>
    <w:p w14:paraId="0DE10014">
      <w:pPr>
        <w:spacing w:line="460" w:lineRule="exact"/>
        <w:ind w:firstLine="480"/>
        <w:rPr>
          <w:rFonts w:ascii="宋体" w:hAnsi="宋体" w:cs="宋体"/>
          <w:sz w:val="24"/>
        </w:rPr>
      </w:pPr>
    </w:p>
    <w:p w14:paraId="29C71CB2">
      <w:pPr>
        <w:pStyle w:val="5"/>
        <w:outlineLvl w:val="9"/>
        <w:rPr>
          <w:sz w:val="24"/>
        </w:rPr>
      </w:pPr>
    </w:p>
    <w:p w14:paraId="0952986F"/>
    <w:p w14:paraId="7D3B30C7">
      <w:pPr>
        <w:snapToGrid w:val="0"/>
        <w:spacing w:line="360" w:lineRule="auto"/>
        <w:jc w:val="center"/>
        <w:rPr>
          <w:rFonts w:ascii="宋体" w:hAnsi="宋体" w:cs="宋体"/>
          <w:b/>
          <w:bCs/>
          <w:sz w:val="24"/>
        </w:rPr>
      </w:pPr>
    </w:p>
    <w:p w14:paraId="7B57E142">
      <w:pPr>
        <w:snapToGrid w:val="0"/>
        <w:spacing w:line="360" w:lineRule="auto"/>
        <w:jc w:val="center"/>
        <w:rPr>
          <w:rFonts w:ascii="宋体" w:hAnsi="宋体" w:cs="宋体"/>
          <w:b/>
          <w:bCs/>
          <w:sz w:val="24"/>
        </w:rPr>
      </w:pPr>
    </w:p>
    <w:p w14:paraId="2570F2FE">
      <w:pPr>
        <w:snapToGrid w:val="0"/>
        <w:spacing w:line="360" w:lineRule="auto"/>
        <w:jc w:val="center"/>
        <w:rPr>
          <w:rFonts w:ascii="宋体" w:hAnsi="宋体" w:cs="宋体"/>
          <w:b/>
          <w:bCs/>
          <w:sz w:val="24"/>
        </w:rPr>
      </w:pPr>
    </w:p>
    <w:p w14:paraId="18244FEE">
      <w:pPr>
        <w:pStyle w:val="5"/>
        <w:outlineLvl w:val="9"/>
      </w:pPr>
    </w:p>
    <w:p w14:paraId="0146CA51">
      <w:pPr>
        <w:snapToGrid w:val="0"/>
        <w:spacing w:line="360" w:lineRule="auto"/>
        <w:jc w:val="center"/>
        <w:rPr>
          <w:rFonts w:ascii="宋体" w:hAnsi="宋体" w:cs="宋体"/>
          <w:b/>
          <w:bCs/>
          <w:sz w:val="24"/>
        </w:rPr>
      </w:pPr>
    </w:p>
    <w:p w14:paraId="180B56E0">
      <w:pPr>
        <w:snapToGrid w:val="0"/>
        <w:spacing w:line="360" w:lineRule="auto"/>
        <w:jc w:val="center"/>
        <w:rPr>
          <w:rFonts w:ascii="宋体" w:hAnsi="宋体" w:cs="宋体"/>
          <w:b/>
          <w:bCs/>
          <w:sz w:val="24"/>
        </w:rPr>
      </w:pPr>
    </w:p>
    <w:p w14:paraId="71498AB0">
      <w:pPr>
        <w:snapToGrid w:val="0"/>
        <w:spacing w:line="360" w:lineRule="auto"/>
        <w:jc w:val="center"/>
        <w:rPr>
          <w:rFonts w:ascii="宋体" w:hAnsi="宋体" w:cs="宋体"/>
          <w:b/>
          <w:bCs/>
          <w:sz w:val="24"/>
        </w:rPr>
      </w:pPr>
    </w:p>
    <w:p w14:paraId="6EC6113B">
      <w:pPr>
        <w:snapToGrid w:val="0"/>
        <w:spacing w:line="360" w:lineRule="auto"/>
        <w:jc w:val="center"/>
        <w:rPr>
          <w:rFonts w:ascii="宋体" w:hAnsi="宋体" w:cs="宋体"/>
          <w:b/>
          <w:bCs/>
          <w:sz w:val="24"/>
        </w:rPr>
      </w:pPr>
    </w:p>
    <w:p w14:paraId="113A24A5">
      <w:pPr>
        <w:pStyle w:val="5"/>
        <w:outlineLvl w:val="9"/>
        <w:rPr>
          <w:sz w:val="24"/>
        </w:rPr>
      </w:pPr>
    </w:p>
    <w:p w14:paraId="0E8A7EEC">
      <w:pPr>
        <w:rPr>
          <w:rFonts w:ascii="宋体" w:hAnsi="宋体" w:cs="宋体"/>
          <w:b/>
          <w:bCs/>
          <w:sz w:val="24"/>
        </w:rPr>
      </w:pPr>
    </w:p>
    <w:p w14:paraId="208AFD68">
      <w:pPr>
        <w:pStyle w:val="5"/>
        <w:outlineLvl w:val="9"/>
      </w:pPr>
    </w:p>
    <w:p w14:paraId="51F75D6C">
      <w:pPr>
        <w:pStyle w:val="3"/>
        <w:spacing w:before="156"/>
        <w:outlineLvl w:val="9"/>
        <w:rPr>
          <w:rFonts w:cs="宋体"/>
        </w:rPr>
      </w:pPr>
    </w:p>
    <w:p w14:paraId="78675085">
      <w:pPr>
        <w:rPr>
          <w:rFonts w:cs="宋体"/>
        </w:rPr>
      </w:pPr>
    </w:p>
    <w:p w14:paraId="621DB5C7">
      <w:pPr>
        <w:pStyle w:val="5"/>
        <w:outlineLvl w:val="9"/>
      </w:pPr>
    </w:p>
    <w:p w14:paraId="4FB7E8D8"/>
    <w:p w14:paraId="17E20F7C">
      <w:pPr>
        <w:rPr>
          <w:rFonts w:ascii="宋体" w:hAnsi="宋体" w:cs="宋体"/>
          <w:b/>
          <w:bCs/>
          <w:sz w:val="24"/>
        </w:rPr>
      </w:pPr>
    </w:p>
    <w:p w14:paraId="7B80DBCF">
      <w:pPr>
        <w:pStyle w:val="5"/>
        <w:outlineLvl w:val="9"/>
        <w:rPr>
          <w:sz w:val="24"/>
        </w:rPr>
      </w:pPr>
    </w:p>
    <w:p w14:paraId="4C54804D">
      <w:pPr>
        <w:rPr>
          <w:rFonts w:ascii="宋体" w:hAnsi="宋体" w:cs="宋体"/>
          <w:b/>
          <w:bCs/>
          <w:sz w:val="24"/>
        </w:rPr>
      </w:pPr>
    </w:p>
    <w:p w14:paraId="1ACF5FBD">
      <w:pPr>
        <w:pStyle w:val="5"/>
        <w:outlineLvl w:val="9"/>
      </w:pPr>
    </w:p>
    <w:p w14:paraId="74BD158C"/>
    <w:p w14:paraId="4C960C17">
      <w:pPr>
        <w:snapToGrid w:val="0"/>
        <w:spacing w:line="360" w:lineRule="auto"/>
        <w:jc w:val="center"/>
        <w:rPr>
          <w:rFonts w:ascii="宋体" w:hAnsi="宋体" w:cs="宋体"/>
          <w:b/>
          <w:bCs/>
          <w:sz w:val="32"/>
          <w:szCs w:val="32"/>
        </w:rPr>
      </w:pPr>
    </w:p>
    <w:p w14:paraId="28D915BA">
      <w:pPr>
        <w:snapToGrid w:val="0"/>
        <w:spacing w:line="360" w:lineRule="auto"/>
        <w:jc w:val="center"/>
        <w:rPr>
          <w:rFonts w:ascii="宋体" w:hAnsi="宋体" w:cs="宋体"/>
          <w:sz w:val="32"/>
          <w:szCs w:val="32"/>
        </w:rPr>
      </w:pPr>
      <w:r>
        <w:rPr>
          <w:rFonts w:hint="eastAsia" w:ascii="宋体" w:hAnsi="宋体" w:cs="宋体"/>
          <w:b/>
          <w:bCs/>
          <w:sz w:val="32"/>
          <w:szCs w:val="32"/>
          <w:lang w:eastAsia="zh-CN"/>
        </w:rPr>
        <w:t>八</w:t>
      </w:r>
      <w:r>
        <w:rPr>
          <w:rFonts w:hint="eastAsia" w:ascii="宋体" w:hAnsi="宋体" w:cs="宋体"/>
          <w:b/>
          <w:bCs/>
          <w:sz w:val="32"/>
          <w:szCs w:val="32"/>
        </w:rPr>
        <w:t>、其他资料</w:t>
      </w:r>
    </w:p>
    <w:p w14:paraId="251D0B6B">
      <w:pPr>
        <w:snapToGrid w:val="0"/>
        <w:spacing w:line="360" w:lineRule="auto"/>
        <w:rPr>
          <w:rFonts w:ascii="宋体" w:hAnsi="宋体" w:cs="宋体"/>
          <w:sz w:val="24"/>
        </w:rPr>
      </w:pPr>
    </w:p>
    <w:p w14:paraId="635BD6AF">
      <w:pPr>
        <w:spacing w:line="360" w:lineRule="auto"/>
        <w:rPr>
          <w:rFonts w:hint="eastAsia" w:ascii="宋体" w:hAnsi="宋体" w:cs="宋体"/>
          <w:szCs w:val="21"/>
        </w:rPr>
      </w:pPr>
      <w:r>
        <w:rPr>
          <w:rFonts w:hint="eastAsia" w:ascii="宋体" w:hAnsi="宋体" w:cs="宋体"/>
          <w:szCs w:val="21"/>
        </w:rPr>
        <w:t>投标人自行提供认为其他需提供的资料。</w:t>
      </w:r>
      <w:bookmarkEnd w:id="118"/>
    </w:p>
    <w:p w14:paraId="03336A1F">
      <w:pPr>
        <w:pStyle w:val="30"/>
        <w:rPr>
          <w:rFonts w:hint="eastAsia" w:ascii="宋体" w:hAnsi="宋体" w:cs="宋体"/>
          <w:szCs w:val="21"/>
        </w:rPr>
      </w:pPr>
    </w:p>
    <w:p w14:paraId="6C231E6C">
      <w:pPr>
        <w:pStyle w:val="30"/>
        <w:rPr>
          <w:rFonts w:hint="eastAsia" w:ascii="宋体" w:hAnsi="宋体" w:cs="宋体"/>
          <w:szCs w:val="21"/>
        </w:rPr>
      </w:pPr>
    </w:p>
    <w:p w14:paraId="51F7F86F">
      <w:pPr>
        <w:pStyle w:val="30"/>
        <w:rPr>
          <w:rFonts w:hint="eastAsia" w:ascii="宋体" w:hAnsi="宋体" w:cs="宋体"/>
          <w:szCs w:val="21"/>
        </w:rPr>
      </w:pPr>
    </w:p>
    <w:p w14:paraId="7313481A">
      <w:pPr>
        <w:pStyle w:val="30"/>
        <w:rPr>
          <w:rFonts w:hint="eastAsia" w:ascii="宋体" w:hAnsi="宋体" w:cs="宋体"/>
          <w:szCs w:val="21"/>
        </w:rPr>
      </w:pPr>
    </w:p>
    <w:p w14:paraId="5B6B3D2C">
      <w:pPr>
        <w:pStyle w:val="30"/>
        <w:rPr>
          <w:rFonts w:hint="eastAsia" w:ascii="宋体" w:hAnsi="宋体" w:cs="宋体"/>
          <w:szCs w:val="21"/>
        </w:rPr>
      </w:pPr>
    </w:p>
    <w:p w14:paraId="1CE74234">
      <w:pPr>
        <w:pStyle w:val="30"/>
        <w:rPr>
          <w:rFonts w:hint="eastAsia" w:ascii="宋体" w:hAnsi="宋体" w:cs="宋体"/>
          <w:szCs w:val="21"/>
        </w:rPr>
      </w:pPr>
    </w:p>
    <w:p w14:paraId="185CD0AB">
      <w:pPr>
        <w:pStyle w:val="30"/>
        <w:rPr>
          <w:rFonts w:hint="eastAsia" w:ascii="宋体" w:hAnsi="宋体" w:cs="宋体"/>
          <w:szCs w:val="21"/>
        </w:rPr>
      </w:pPr>
    </w:p>
    <w:p w14:paraId="0C179CBA">
      <w:pPr>
        <w:pStyle w:val="30"/>
        <w:rPr>
          <w:rFonts w:hint="eastAsia" w:ascii="宋体" w:hAnsi="宋体" w:cs="宋体"/>
          <w:szCs w:val="21"/>
        </w:rPr>
      </w:pPr>
    </w:p>
    <w:p w14:paraId="081C00B4">
      <w:pPr>
        <w:pStyle w:val="30"/>
        <w:rPr>
          <w:rFonts w:hint="eastAsia" w:ascii="宋体" w:hAnsi="宋体" w:cs="宋体"/>
          <w:szCs w:val="21"/>
        </w:rPr>
      </w:pPr>
    </w:p>
    <w:p w14:paraId="04295DFE">
      <w:pPr>
        <w:pStyle w:val="30"/>
        <w:rPr>
          <w:rFonts w:hint="eastAsia" w:ascii="宋体" w:hAnsi="宋体" w:cs="宋体"/>
          <w:szCs w:val="21"/>
        </w:rPr>
      </w:pPr>
    </w:p>
    <w:p w14:paraId="0C45D63C">
      <w:pPr>
        <w:pStyle w:val="30"/>
        <w:rPr>
          <w:rFonts w:hint="eastAsia" w:ascii="宋体" w:hAnsi="宋体" w:cs="宋体"/>
          <w:szCs w:val="21"/>
        </w:rPr>
      </w:pPr>
    </w:p>
    <w:p w14:paraId="6153E35F">
      <w:pPr>
        <w:pStyle w:val="30"/>
        <w:rPr>
          <w:rFonts w:hint="eastAsia" w:ascii="宋体" w:hAnsi="宋体" w:cs="宋体"/>
          <w:szCs w:val="21"/>
        </w:rPr>
      </w:pPr>
    </w:p>
    <w:p w14:paraId="43BDAE65">
      <w:pPr>
        <w:pStyle w:val="30"/>
        <w:rPr>
          <w:rFonts w:hint="eastAsia" w:ascii="宋体" w:hAnsi="宋体" w:cs="宋体"/>
          <w:szCs w:val="21"/>
        </w:rPr>
      </w:pPr>
    </w:p>
    <w:p w14:paraId="3ED0ADC6">
      <w:pPr>
        <w:pStyle w:val="30"/>
        <w:rPr>
          <w:rFonts w:hint="eastAsia" w:ascii="宋体" w:hAnsi="宋体" w:cs="宋体"/>
          <w:szCs w:val="21"/>
        </w:rPr>
      </w:pPr>
    </w:p>
    <w:p w14:paraId="3B9E00D2">
      <w:pPr>
        <w:pStyle w:val="30"/>
        <w:rPr>
          <w:rFonts w:hint="eastAsia" w:ascii="宋体" w:hAnsi="宋体" w:cs="宋体"/>
          <w:szCs w:val="21"/>
        </w:rPr>
      </w:pPr>
    </w:p>
    <w:p w14:paraId="1853AC2D">
      <w:pPr>
        <w:pStyle w:val="30"/>
        <w:rPr>
          <w:rFonts w:hint="eastAsia" w:ascii="宋体" w:hAnsi="宋体" w:cs="宋体"/>
          <w:szCs w:val="21"/>
        </w:rPr>
      </w:pPr>
    </w:p>
    <w:p w14:paraId="3477D1E1">
      <w:pPr>
        <w:pStyle w:val="30"/>
        <w:rPr>
          <w:rFonts w:hint="eastAsia" w:ascii="宋体" w:hAnsi="宋体" w:cs="宋体"/>
          <w:szCs w:val="21"/>
        </w:rPr>
      </w:pPr>
    </w:p>
    <w:p w14:paraId="0846FBF7">
      <w:pPr>
        <w:pStyle w:val="30"/>
        <w:rPr>
          <w:rFonts w:hint="eastAsia" w:ascii="宋体" w:hAnsi="宋体" w:cs="宋体"/>
          <w:szCs w:val="21"/>
        </w:rPr>
      </w:pPr>
    </w:p>
    <w:p w14:paraId="2EC59823">
      <w:pPr>
        <w:pStyle w:val="30"/>
        <w:rPr>
          <w:rFonts w:hint="eastAsia" w:ascii="宋体" w:hAnsi="宋体" w:cs="宋体"/>
          <w:szCs w:val="21"/>
        </w:rPr>
      </w:pPr>
    </w:p>
    <w:p w14:paraId="5FB226C3">
      <w:pPr>
        <w:pStyle w:val="30"/>
        <w:rPr>
          <w:rFonts w:hint="eastAsia" w:ascii="宋体" w:hAnsi="宋体" w:cs="宋体"/>
          <w:szCs w:val="21"/>
        </w:rPr>
      </w:pPr>
    </w:p>
    <w:p w14:paraId="6976C9E0">
      <w:pPr>
        <w:pStyle w:val="30"/>
        <w:rPr>
          <w:rFonts w:hint="eastAsia" w:ascii="宋体" w:hAnsi="宋体" w:cs="宋体"/>
          <w:szCs w:val="21"/>
        </w:rPr>
      </w:pPr>
    </w:p>
    <w:p w14:paraId="0E957721">
      <w:pPr>
        <w:pStyle w:val="30"/>
        <w:rPr>
          <w:rFonts w:hint="eastAsia" w:ascii="宋体" w:hAnsi="宋体" w:cs="宋体"/>
          <w:szCs w:val="21"/>
        </w:rPr>
      </w:pPr>
    </w:p>
    <w:p w14:paraId="39E29C9F">
      <w:pPr>
        <w:pStyle w:val="30"/>
        <w:rPr>
          <w:rFonts w:hint="eastAsia" w:ascii="宋体" w:hAnsi="宋体" w:cs="宋体"/>
          <w:szCs w:val="21"/>
        </w:rPr>
      </w:pPr>
    </w:p>
    <w:p w14:paraId="65233926">
      <w:pPr>
        <w:pStyle w:val="30"/>
        <w:rPr>
          <w:rFonts w:hint="eastAsia" w:ascii="宋体" w:hAnsi="宋体" w:cs="宋体"/>
          <w:szCs w:val="21"/>
        </w:rPr>
      </w:pPr>
    </w:p>
    <w:p w14:paraId="47045B6A">
      <w:pPr>
        <w:pStyle w:val="30"/>
        <w:rPr>
          <w:rFonts w:hint="eastAsia" w:ascii="宋体" w:hAnsi="宋体" w:cs="宋体"/>
          <w:szCs w:val="21"/>
        </w:rPr>
      </w:pPr>
    </w:p>
    <w:p w14:paraId="125F9121">
      <w:pPr>
        <w:pStyle w:val="30"/>
        <w:rPr>
          <w:rFonts w:hint="eastAsia" w:ascii="宋体" w:hAnsi="宋体" w:cs="宋体"/>
          <w:szCs w:val="21"/>
        </w:rPr>
      </w:pPr>
    </w:p>
    <w:p w14:paraId="1FDD703C">
      <w:pPr>
        <w:widowControl/>
        <w:spacing w:line="360" w:lineRule="auto"/>
        <w:jc w:val="center"/>
        <w:outlineLvl w:val="1"/>
        <w:rPr>
          <w:rFonts w:hint="eastAsia" w:ascii="宋体" w:hAnsi="宋体" w:cs="宋体"/>
          <w:b/>
          <w:bCs/>
          <w:kern w:val="0"/>
          <w:sz w:val="32"/>
          <w:szCs w:val="32"/>
        </w:rPr>
      </w:pPr>
      <w:bookmarkStart w:id="134" w:name="_Toc2162"/>
      <w:bookmarkStart w:id="135" w:name="_Toc22602"/>
      <w:r>
        <w:rPr>
          <w:rFonts w:hint="eastAsia" w:ascii="宋体" w:hAnsi="宋体" w:cs="宋体"/>
          <w:b/>
          <w:bCs/>
          <w:kern w:val="0"/>
          <w:sz w:val="32"/>
          <w:szCs w:val="32"/>
          <w:lang w:eastAsia="zh-CN"/>
        </w:rPr>
        <w:t>九、</w:t>
      </w:r>
      <w:r>
        <w:rPr>
          <w:rFonts w:hint="eastAsia" w:ascii="宋体" w:hAnsi="宋体" w:cs="宋体"/>
          <w:b/>
          <w:bCs/>
          <w:kern w:val="0"/>
          <w:sz w:val="32"/>
          <w:szCs w:val="32"/>
        </w:rPr>
        <w:t>无重大违法记录声明</w:t>
      </w:r>
      <w:bookmarkEnd w:id="134"/>
      <w:bookmarkEnd w:id="135"/>
    </w:p>
    <w:p w14:paraId="7518ADF7">
      <w:pPr>
        <w:spacing w:line="360" w:lineRule="auto"/>
      </w:pPr>
    </w:p>
    <w:p w14:paraId="515267E7">
      <w:pPr>
        <w:spacing w:line="360" w:lineRule="auto"/>
      </w:pPr>
      <w:r>
        <w:rPr>
          <w:rFonts w:hint="eastAsia"/>
        </w:rPr>
        <w:t>采购人和采购代理机构：</w:t>
      </w:r>
    </w:p>
    <w:p w14:paraId="404E4578">
      <w:pPr>
        <w:spacing w:line="360" w:lineRule="auto"/>
        <w:ind w:firstLine="420" w:firstLineChars="200"/>
      </w:pPr>
      <w:r>
        <w:rPr>
          <w:rFonts w:hint="eastAsia"/>
        </w:rPr>
        <w:t>我方在此声明， 我方在参加本次政府采购活动前三年内， 在经营活动中没有以下重大违法记录：</w:t>
      </w:r>
    </w:p>
    <w:p w14:paraId="2E783E62">
      <w:pPr>
        <w:spacing w:line="360" w:lineRule="auto"/>
        <w:ind w:firstLine="420" w:firstLineChars="200"/>
      </w:pPr>
      <w:r>
        <w:rPr>
          <w:rFonts w:hint="eastAsia"/>
        </w:rPr>
        <w:t>1.我方因违法经营被追究过刑事责任；</w:t>
      </w:r>
    </w:p>
    <w:p w14:paraId="08047C2F">
      <w:pPr>
        <w:spacing w:line="360" w:lineRule="auto"/>
        <w:ind w:firstLine="420" w:firstLineChars="200"/>
      </w:pPr>
      <w:r>
        <w:rPr>
          <w:rFonts w:hint="eastAsia"/>
        </w:rPr>
        <w:t>2.我方因违法经营被责令停产停业、吊销许可证或者执照；</w:t>
      </w:r>
    </w:p>
    <w:p w14:paraId="28801DA9">
      <w:pPr>
        <w:spacing w:line="360" w:lineRule="auto"/>
        <w:ind w:firstLine="420" w:firstLineChars="200"/>
      </w:pPr>
      <w:r>
        <w:rPr>
          <w:rFonts w:hint="eastAsia"/>
        </w:rPr>
        <w:t>3.我方因违法经营被处以较大数额罚款等行政处罚；</w:t>
      </w:r>
    </w:p>
    <w:p w14:paraId="1FB88493">
      <w:pPr>
        <w:spacing w:line="360" w:lineRule="auto"/>
        <w:ind w:firstLine="420" w:firstLineChars="200"/>
      </w:pPr>
      <w:r>
        <w:rPr>
          <w:rFonts w:hint="eastAsia"/>
        </w:rPr>
        <w:t>4.我方因围标、串标、骗取中标和其他招投标行为在全国范围内被相关部门进行过行政处罚或处理 （包括通报、公示、扣分、记不良行为记录等）的。</w:t>
      </w:r>
    </w:p>
    <w:p w14:paraId="03B3972E">
      <w:pPr>
        <w:spacing w:line="360" w:lineRule="auto"/>
        <w:ind w:firstLine="420" w:firstLineChars="200"/>
      </w:pPr>
      <w:r>
        <w:rPr>
          <w:rFonts w:hint="eastAsia"/>
        </w:rPr>
        <w:t>随本声明附上我方参加本次政府采购活动前 3 年内发生的诉讼及仲裁情况表以及相关的法律证明文件供贵方核验。我方保证上述信息的完整、客观、真实、准确，并愿意承担我方因提供虚假材料和声明谋骗取中标、成交所引起的一切法律后果。</w:t>
      </w:r>
    </w:p>
    <w:p w14:paraId="4CB557B3">
      <w:pPr>
        <w:spacing w:line="360" w:lineRule="auto"/>
        <w:ind w:firstLine="420" w:firstLineChars="200"/>
      </w:pPr>
      <w:r>
        <w:rPr>
          <w:rFonts w:hint="eastAsia"/>
        </w:rPr>
        <w:t>特此声明！</w:t>
      </w:r>
    </w:p>
    <w:p w14:paraId="48D44B8F">
      <w:pPr>
        <w:spacing w:line="360" w:lineRule="auto"/>
        <w:ind w:firstLine="420" w:firstLineChars="200"/>
      </w:pPr>
    </w:p>
    <w:p w14:paraId="6052E4CD">
      <w:pPr>
        <w:spacing w:line="360" w:lineRule="auto"/>
        <w:ind w:firstLine="420" w:firstLineChars="200"/>
      </w:pPr>
    </w:p>
    <w:p w14:paraId="0974BF14">
      <w:pPr>
        <w:spacing w:line="360" w:lineRule="auto"/>
        <w:ind w:firstLine="420" w:firstLineChars="200"/>
      </w:pPr>
    </w:p>
    <w:p w14:paraId="1713A373">
      <w:pPr>
        <w:spacing w:line="360" w:lineRule="auto"/>
        <w:ind w:firstLine="420" w:firstLineChars="200"/>
      </w:pPr>
    </w:p>
    <w:p w14:paraId="35B8E02B">
      <w:pPr>
        <w:spacing w:line="360" w:lineRule="auto"/>
        <w:ind w:firstLine="420" w:firstLineChars="200"/>
      </w:pPr>
    </w:p>
    <w:p w14:paraId="034B017A">
      <w:pPr>
        <w:spacing w:line="360" w:lineRule="auto"/>
      </w:pPr>
      <w:r>
        <w:rPr>
          <w:rFonts w:hint="eastAsia"/>
        </w:rPr>
        <w:t>供应商名称：</w:t>
      </w:r>
      <w:r>
        <w:rPr>
          <w:rFonts w:hint="eastAsia"/>
          <w:u w:val="single"/>
        </w:rPr>
        <w:t xml:space="preserve">                  </w:t>
      </w:r>
      <w:r>
        <w:rPr>
          <w:rFonts w:hint="eastAsia"/>
        </w:rPr>
        <w:t>（盖章）</w:t>
      </w:r>
    </w:p>
    <w:p w14:paraId="2B725192">
      <w:pPr>
        <w:spacing w:line="360" w:lineRule="auto"/>
      </w:pPr>
      <w:r>
        <w:rPr>
          <w:rFonts w:hint="eastAsia"/>
        </w:rPr>
        <w:t>供应商法定代表人或委托代理人：</w:t>
      </w:r>
      <w:r>
        <w:rPr>
          <w:rFonts w:hint="eastAsia"/>
          <w:u w:val="single"/>
        </w:rPr>
        <w:t xml:space="preserve">           </w:t>
      </w:r>
      <w:r>
        <w:rPr>
          <w:rFonts w:hint="eastAsia"/>
        </w:rPr>
        <w:t>签字</w:t>
      </w:r>
    </w:p>
    <w:p w14:paraId="06439CD9">
      <w:pPr>
        <w:spacing w:line="360" w:lineRule="auto"/>
      </w:pPr>
      <w:r>
        <w:rPr>
          <w:rFonts w:hint="eastAsia"/>
        </w:rPr>
        <w:t>时 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5EE1D09">
      <w:pPr>
        <w:spacing w:line="360" w:lineRule="auto"/>
      </w:pPr>
    </w:p>
    <w:p w14:paraId="4E0A2180">
      <w:pPr>
        <w:spacing w:line="360" w:lineRule="auto"/>
      </w:pPr>
    </w:p>
    <w:p w14:paraId="782A7BEB">
      <w:pPr>
        <w:spacing w:line="360" w:lineRule="auto"/>
      </w:pPr>
    </w:p>
    <w:p w14:paraId="04B9139B">
      <w:pPr>
        <w:spacing w:line="360" w:lineRule="auto"/>
      </w:pPr>
    </w:p>
    <w:p w14:paraId="057E46BC">
      <w:pPr>
        <w:jc w:val="center"/>
        <w:rPr>
          <w:rFonts w:ascii="黑体" w:hAnsi="黑体" w:eastAsia="黑体"/>
          <w:sz w:val="28"/>
          <w:szCs w:val="28"/>
        </w:rPr>
      </w:pPr>
    </w:p>
    <w:p w14:paraId="5A7E682A">
      <w:pPr>
        <w:jc w:val="center"/>
        <w:rPr>
          <w:rFonts w:ascii="黑体" w:hAnsi="黑体" w:eastAsia="黑体"/>
          <w:sz w:val="28"/>
          <w:szCs w:val="28"/>
        </w:rPr>
      </w:pPr>
    </w:p>
    <w:p w14:paraId="573BA232">
      <w:pPr>
        <w:jc w:val="center"/>
        <w:rPr>
          <w:rFonts w:ascii="黑体" w:hAnsi="黑体" w:eastAsia="黑体"/>
          <w:sz w:val="28"/>
          <w:szCs w:val="28"/>
        </w:rPr>
      </w:pPr>
      <w:r>
        <w:rPr>
          <w:rFonts w:hint="eastAsia" w:ascii="黑体" w:hAnsi="黑体" w:eastAsia="黑体"/>
          <w:sz w:val="28"/>
          <w:szCs w:val="28"/>
        </w:rPr>
        <w:t>参加本次政府采购活动前 3 年内发生诉讼及仲裁情况表</w:t>
      </w:r>
    </w:p>
    <w:tbl>
      <w:tblPr>
        <w:tblStyle w:val="24"/>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648"/>
        <w:gridCol w:w="1728"/>
        <w:gridCol w:w="1728"/>
        <w:gridCol w:w="1729"/>
      </w:tblGrid>
      <w:tr w14:paraId="588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Align w:val="center"/>
          </w:tcPr>
          <w:p w14:paraId="4810CFC1">
            <w:pPr>
              <w:jc w:val="center"/>
            </w:pPr>
            <w:r>
              <w:rPr>
                <w:rFonts w:hint="eastAsia"/>
              </w:rPr>
              <w:t>类别</w:t>
            </w:r>
          </w:p>
        </w:tc>
        <w:tc>
          <w:tcPr>
            <w:tcW w:w="2648" w:type="dxa"/>
            <w:vAlign w:val="center"/>
          </w:tcPr>
          <w:p w14:paraId="6C020D77">
            <w:pPr>
              <w:jc w:val="center"/>
            </w:pPr>
            <w:r>
              <w:rPr>
                <w:rFonts w:hint="eastAsia"/>
              </w:rPr>
              <w:t>序号</w:t>
            </w:r>
          </w:p>
        </w:tc>
        <w:tc>
          <w:tcPr>
            <w:tcW w:w="1728" w:type="dxa"/>
            <w:vAlign w:val="center"/>
          </w:tcPr>
          <w:p w14:paraId="053FD923">
            <w:pPr>
              <w:jc w:val="center"/>
            </w:pPr>
            <w:r>
              <w:rPr>
                <w:rFonts w:hint="eastAsia"/>
              </w:rPr>
              <w:t>发生时间</w:t>
            </w:r>
          </w:p>
        </w:tc>
        <w:tc>
          <w:tcPr>
            <w:tcW w:w="1728" w:type="dxa"/>
            <w:vAlign w:val="center"/>
          </w:tcPr>
          <w:p w14:paraId="43A48D78">
            <w:pPr>
              <w:jc w:val="center"/>
            </w:pPr>
            <w:r>
              <w:rPr>
                <w:rFonts w:hint="eastAsia"/>
              </w:rPr>
              <w:t>情况简介</w:t>
            </w:r>
          </w:p>
        </w:tc>
        <w:tc>
          <w:tcPr>
            <w:tcW w:w="1729" w:type="dxa"/>
            <w:vAlign w:val="center"/>
          </w:tcPr>
          <w:p w14:paraId="4B1FB4B5">
            <w:pPr>
              <w:jc w:val="center"/>
            </w:pPr>
            <w:r>
              <w:rPr>
                <w:rFonts w:hint="eastAsia"/>
              </w:rPr>
              <w:t>证明材料索引</w:t>
            </w:r>
          </w:p>
        </w:tc>
      </w:tr>
      <w:tr w14:paraId="7056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restart"/>
            <w:vAlign w:val="center"/>
          </w:tcPr>
          <w:p w14:paraId="52815E15">
            <w:pPr>
              <w:jc w:val="center"/>
            </w:pPr>
            <w:r>
              <w:rPr>
                <w:rFonts w:hint="eastAsia"/>
              </w:rPr>
              <w:t>诉</w:t>
            </w:r>
          </w:p>
          <w:p w14:paraId="14BA80AB">
            <w:pPr>
              <w:jc w:val="center"/>
            </w:pPr>
            <w:r>
              <w:rPr>
                <w:rFonts w:hint="eastAsia"/>
              </w:rPr>
              <w:t>讼</w:t>
            </w:r>
          </w:p>
          <w:p w14:paraId="6BDC193B">
            <w:pPr>
              <w:jc w:val="center"/>
            </w:pPr>
            <w:r>
              <w:rPr>
                <w:rFonts w:hint="eastAsia"/>
              </w:rPr>
              <w:t>情</w:t>
            </w:r>
          </w:p>
          <w:p w14:paraId="57E035DC">
            <w:pPr>
              <w:jc w:val="center"/>
            </w:pPr>
            <w:r>
              <w:rPr>
                <w:rFonts w:hint="eastAsia"/>
              </w:rPr>
              <w:t>况</w:t>
            </w:r>
          </w:p>
        </w:tc>
        <w:tc>
          <w:tcPr>
            <w:tcW w:w="2648" w:type="dxa"/>
          </w:tcPr>
          <w:p w14:paraId="6F8756A8"/>
        </w:tc>
        <w:tc>
          <w:tcPr>
            <w:tcW w:w="1728" w:type="dxa"/>
          </w:tcPr>
          <w:p w14:paraId="67D0911B"/>
        </w:tc>
        <w:tc>
          <w:tcPr>
            <w:tcW w:w="1728" w:type="dxa"/>
          </w:tcPr>
          <w:p w14:paraId="5EB07749"/>
        </w:tc>
        <w:tc>
          <w:tcPr>
            <w:tcW w:w="1729" w:type="dxa"/>
          </w:tcPr>
          <w:p w14:paraId="56D7E166"/>
        </w:tc>
      </w:tr>
      <w:tr w14:paraId="73C1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vAlign w:val="center"/>
          </w:tcPr>
          <w:p w14:paraId="5DE5FC9B">
            <w:pPr>
              <w:jc w:val="center"/>
            </w:pPr>
          </w:p>
        </w:tc>
        <w:tc>
          <w:tcPr>
            <w:tcW w:w="2648" w:type="dxa"/>
          </w:tcPr>
          <w:p w14:paraId="168B463D"/>
        </w:tc>
        <w:tc>
          <w:tcPr>
            <w:tcW w:w="1728" w:type="dxa"/>
          </w:tcPr>
          <w:p w14:paraId="0F779C66"/>
        </w:tc>
        <w:tc>
          <w:tcPr>
            <w:tcW w:w="1728" w:type="dxa"/>
          </w:tcPr>
          <w:p w14:paraId="74B423DE"/>
        </w:tc>
        <w:tc>
          <w:tcPr>
            <w:tcW w:w="1729" w:type="dxa"/>
          </w:tcPr>
          <w:p w14:paraId="52EE9F3E"/>
        </w:tc>
      </w:tr>
      <w:tr w14:paraId="0799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vAlign w:val="center"/>
          </w:tcPr>
          <w:p w14:paraId="004D5C9D">
            <w:pPr>
              <w:jc w:val="center"/>
            </w:pPr>
          </w:p>
        </w:tc>
        <w:tc>
          <w:tcPr>
            <w:tcW w:w="2648" w:type="dxa"/>
          </w:tcPr>
          <w:p w14:paraId="61BE2A58"/>
        </w:tc>
        <w:tc>
          <w:tcPr>
            <w:tcW w:w="1728" w:type="dxa"/>
          </w:tcPr>
          <w:p w14:paraId="3E5667B4"/>
        </w:tc>
        <w:tc>
          <w:tcPr>
            <w:tcW w:w="1728" w:type="dxa"/>
          </w:tcPr>
          <w:p w14:paraId="19634029"/>
        </w:tc>
        <w:tc>
          <w:tcPr>
            <w:tcW w:w="1729" w:type="dxa"/>
          </w:tcPr>
          <w:p w14:paraId="515ACFE4"/>
        </w:tc>
      </w:tr>
      <w:tr w14:paraId="3C8C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vAlign w:val="center"/>
          </w:tcPr>
          <w:p w14:paraId="3DCEDE5A">
            <w:pPr>
              <w:jc w:val="center"/>
            </w:pPr>
          </w:p>
        </w:tc>
        <w:tc>
          <w:tcPr>
            <w:tcW w:w="2648" w:type="dxa"/>
          </w:tcPr>
          <w:p w14:paraId="0F99B002"/>
        </w:tc>
        <w:tc>
          <w:tcPr>
            <w:tcW w:w="1728" w:type="dxa"/>
          </w:tcPr>
          <w:p w14:paraId="48CEFD58"/>
        </w:tc>
        <w:tc>
          <w:tcPr>
            <w:tcW w:w="1728" w:type="dxa"/>
          </w:tcPr>
          <w:p w14:paraId="1C895CB8"/>
        </w:tc>
        <w:tc>
          <w:tcPr>
            <w:tcW w:w="1729" w:type="dxa"/>
          </w:tcPr>
          <w:p w14:paraId="0530C8D1"/>
        </w:tc>
      </w:tr>
      <w:tr w14:paraId="5D53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vAlign w:val="center"/>
          </w:tcPr>
          <w:p w14:paraId="7525B6EF">
            <w:pPr>
              <w:jc w:val="center"/>
            </w:pPr>
          </w:p>
        </w:tc>
        <w:tc>
          <w:tcPr>
            <w:tcW w:w="2648" w:type="dxa"/>
          </w:tcPr>
          <w:p w14:paraId="38AD24D4"/>
        </w:tc>
        <w:tc>
          <w:tcPr>
            <w:tcW w:w="1728" w:type="dxa"/>
          </w:tcPr>
          <w:p w14:paraId="1F474804"/>
        </w:tc>
        <w:tc>
          <w:tcPr>
            <w:tcW w:w="1728" w:type="dxa"/>
          </w:tcPr>
          <w:p w14:paraId="2B60A4EF"/>
        </w:tc>
        <w:tc>
          <w:tcPr>
            <w:tcW w:w="1729" w:type="dxa"/>
          </w:tcPr>
          <w:p w14:paraId="737C24EE"/>
        </w:tc>
      </w:tr>
      <w:tr w14:paraId="5673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vAlign w:val="center"/>
          </w:tcPr>
          <w:p w14:paraId="235C1851">
            <w:pPr>
              <w:jc w:val="center"/>
            </w:pPr>
          </w:p>
        </w:tc>
        <w:tc>
          <w:tcPr>
            <w:tcW w:w="2648" w:type="dxa"/>
          </w:tcPr>
          <w:p w14:paraId="35236D7E"/>
        </w:tc>
        <w:tc>
          <w:tcPr>
            <w:tcW w:w="1728" w:type="dxa"/>
          </w:tcPr>
          <w:p w14:paraId="30F1FB3D"/>
        </w:tc>
        <w:tc>
          <w:tcPr>
            <w:tcW w:w="1728" w:type="dxa"/>
          </w:tcPr>
          <w:p w14:paraId="6E9FA183"/>
        </w:tc>
        <w:tc>
          <w:tcPr>
            <w:tcW w:w="1729" w:type="dxa"/>
          </w:tcPr>
          <w:p w14:paraId="3C7C27F3"/>
        </w:tc>
      </w:tr>
      <w:tr w14:paraId="2A23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vAlign w:val="center"/>
          </w:tcPr>
          <w:p w14:paraId="4730F6BA">
            <w:pPr>
              <w:jc w:val="center"/>
            </w:pPr>
          </w:p>
        </w:tc>
        <w:tc>
          <w:tcPr>
            <w:tcW w:w="2648" w:type="dxa"/>
          </w:tcPr>
          <w:p w14:paraId="56BCE58C"/>
        </w:tc>
        <w:tc>
          <w:tcPr>
            <w:tcW w:w="1728" w:type="dxa"/>
          </w:tcPr>
          <w:p w14:paraId="4D22F94B"/>
        </w:tc>
        <w:tc>
          <w:tcPr>
            <w:tcW w:w="1728" w:type="dxa"/>
          </w:tcPr>
          <w:p w14:paraId="7F987E11"/>
        </w:tc>
        <w:tc>
          <w:tcPr>
            <w:tcW w:w="1729" w:type="dxa"/>
          </w:tcPr>
          <w:p w14:paraId="3239C57A"/>
        </w:tc>
      </w:tr>
      <w:tr w14:paraId="1447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restart"/>
            <w:vAlign w:val="center"/>
          </w:tcPr>
          <w:p w14:paraId="6B440416">
            <w:pPr>
              <w:jc w:val="center"/>
            </w:pPr>
            <w:r>
              <w:rPr>
                <w:rFonts w:hint="eastAsia"/>
              </w:rPr>
              <w:t>仲</w:t>
            </w:r>
          </w:p>
          <w:p w14:paraId="46A64787">
            <w:pPr>
              <w:jc w:val="center"/>
            </w:pPr>
            <w:r>
              <w:rPr>
                <w:rFonts w:hint="eastAsia"/>
              </w:rPr>
              <w:t>裁</w:t>
            </w:r>
          </w:p>
          <w:p w14:paraId="269B84C3">
            <w:pPr>
              <w:jc w:val="center"/>
            </w:pPr>
            <w:r>
              <w:rPr>
                <w:rFonts w:hint="eastAsia"/>
              </w:rPr>
              <w:t>情</w:t>
            </w:r>
          </w:p>
          <w:p w14:paraId="67C1F713">
            <w:pPr>
              <w:jc w:val="center"/>
            </w:pPr>
            <w:r>
              <w:rPr>
                <w:rFonts w:hint="eastAsia"/>
              </w:rPr>
              <w:t>况</w:t>
            </w:r>
          </w:p>
          <w:p w14:paraId="62C75C42">
            <w:pPr>
              <w:jc w:val="center"/>
            </w:pPr>
          </w:p>
        </w:tc>
        <w:tc>
          <w:tcPr>
            <w:tcW w:w="2648" w:type="dxa"/>
          </w:tcPr>
          <w:p w14:paraId="4C147090"/>
        </w:tc>
        <w:tc>
          <w:tcPr>
            <w:tcW w:w="1728" w:type="dxa"/>
          </w:tcPr>
          <w:p w14:paraId="1CE4D6D9"/>
        </w:tc>
        <w:tc>
          <w:tcPr>
            <w:tcW w:w="1728" w:type="dxa"/>
          </w:tcPr>
          <w:p w14:paraId="11D13222"/>
        </w:tc>
        <w:tc>
          <w:tcPr>
            <w:tcW w:w="1729" w:type="dxa"/>
          </w:tcPr>
          <w:p w14:paraId="1FDE7896"/>
        </w:tc>
      </w:tr>
      <w:tr w14:paraId="009C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tcPr>
          <w:p w14:paraId="12F7A6D9"/>
        </w:tc>
        <w:tc>
          <w:tcPr>
            <w:tcW w:w="2648" w:type="dxa"/>
          </w:tcPr>
          <w:p w14:paraId="0D68182A"/>
        </w:tc>
        <w:tc>
          <w:tcPr>
            <w:tcW w:w="1728" w:type="dxa"/>
          </w:tcPr>
          <w:p w14:paraId="64F2C99A"/>
        </w:tc>
        <w:tc>
          <w:tcPr>
            <w:tcW w:w="1728" w:type="dxa"/>
          </w:tcPr>
          <w:p w14:paraId="278EFD92"/>
        </w:tc>
        <w:tc>
          <w:tcPr>
            <w:tcW w:w="1729" w:type="dxa"/>
          </w:tcPr>
          <w:p w14:paraId="589FA850"/>
        </w:tc>
      </w:tr>
      <w:tr w14:paraId="70D2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tcPr>
          <w:p w14:paraId="08A65C0E"/>
        </w:tc>
        <w:tc>
          <w:tcPr>
            <w:tcW w:w="2648" w:type="dxa"/>
          </w:tcPr>
          <w:p w14:paraId="2DD085F2"/>
        </w:tc>
        <w:tc>
          <w:tcPr>
            <w:tcW w:w="1728" w:type="dxa"/>
          </w:tcPr>
          <w:p w14:paraId="7F04C8DC"/>
        </w:tc>
        <w:tc>
          <w:tcPr>
            <w:tcW w:w="1728" w:type="dxa"/>
          </w:tcPr>
          <w:p w14:paraId="17FC104E"/>
        </w:tc>
        <w:tc>
          <w:tcPr>
            <w:tcW w:w="1729" w:type="dxa"/>
          </w:tcPr>
          <w:p w14:paraId="3A55165C"/>
        </w:tc>
      </w:tr>
      <w:tr w14:paraId="1FB4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tcPr>
          <w:p w14:paraId="62E3ED24"/>
        </w:tc>
        <w:tc>
          <w:tcPr>
            <w:tcW w:w="2648" w:type="dxa"/>
          </w:tcPr>
          <w:p w14:paraId="5D49EA47"/>
        </w:tc>
        <w:tc>
          <w:tcPr>
            <w:tcW w:w="1728" w:type="dxa"/>
          </w:tcPr>
          <w:p w14:paraId="7395F531"/>
        </w:tc>
        <w:tc>
          <w:tcPr>
            <w:tcW w:w="1728" w:type="dxa"/>
          </w:tcPr>
          <w:p w14:paraId="0048B798"/>
        </w:tc>
        <w:tc>
          <w:tcPr>
            <w:tcW w:w="1729" w:type="dxa"/>
          </w:tcPr>
          <w:p w14:paraId="514054C5"/>
        </w:tc>
      </w:tr>
      <w:tr w14:paraId="4ECA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tcPr>
          <w:p w14:paraId="7F148963"/>
        </w:tc>
        <w:tc>
          <w:tcPr>
            <w:tcW w:w="2648" w:type="dxa"/>
          </w:tcPr>
          <w:p w14:paraId="34EF2F80"/>
        </w:tc>
        <w:tc>
          <w:tcPr>
            <w:tcW w:w="1728" w:type="dxa"/>
          </w:tcPr>
          <w:p w14:paraId="7D4F0F72"/>
        </w:tc>
        <w:tc>
          <w:tcPr>
            <w:tcW w:w="1728" w:type="dxa"/>
          </w:tcPr>
          <w:p w14:paraId="62BE124B"/>
        </w:tc>
        <w:tc>
          <w:tcPr>
            <w:tcW w:w="1729" w:type="dxa"/>
          </w:tcPr>
          <w:p w14:paraId="162B80FD"/>
        </w:tc>
      </w:tr>
      <w:tr w14:paraId="749B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7" w:type="dxa"/>
            <w:vMerge w:val="continue"/>
          </w:tcPr>
          <w:p w14:paraId="481AD72B"/>
        </w:tc>
        <w:tc>
          <w:tcPr>
            <w:tcW w:w="2648" w:type="dxa"/>
          </w:tcPr>
          <w:p w14:paraId="6A78D8DC"/>
        </w:tc>
        <w:tc>
          <w:tcPr>
            <w:tcW w:w="1728" w:type="dxa"/>
          </w:tcPr>
          <w:p w14:paraId="7715F9DC"/>
        </w:tc>
        <w:tc>
          <w:tcPr>
            <w:tcW w:w="1728" w:type="dxa"/>
          </w:tcPr>
          <w:p w14:paraId="3D08D4DF"/>
        </w:tc>
        <w:tc>
          <w:tcPr>
            <w:tcW w:w="1729" w:type="dxa"/>
          </w:tcPr>
          <w:p w14:paraId="29DFFEA1"/>
        </w:tc>
      </w:tr>
      <w:tr w14:paraId="38FF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7" w:type="dxa"/>
            <w:vMerge w:val="continue"/>
          </w:tcPr>
          <w:p w14:paraId="5BEF3409"/>
        </w:tc>
        <w:tc>
          <w:tcPr>
            <w:tcW w:w="2648" w:type="dxa"/>
          </w:tcPr>
          <w:p w14:paraId="2601320E"/>
        </w:tc>
        <w:tc>
          <w:tcPr>
            <w:tcW w:w="1728" w:type="dxa"/>
          </w:tcPr>
          <w:p w14:paraId="5CEE366B"/>
        </w:tc>
        <w:tc>
          <w:tcPr>
            <w:tcW w:w="1728" w:type="dxa"/>
          </w:tcPr>
          <w:p w14:paraId="0CB3E3AF"/>
        </w:tc>
        <w:tc>
          <w:tcPr>
            <w:tcW w:w="1729" w:type="dxa"/>
          </w:tcPr>
          <w:p w14:paraId="0E13F74A"/>
        </w:tc>
      </w:tr>
    </w:tbl>
    <w:p w14:paraId="6E3CED2D"/>
    <w:p w14:paraId="711BF10C">
      <w:r>
        <w:rPr>
          <w:rFonts w:hint="eastAsia"/>
        </w:rPr>
        <w:t xml:space="preserve">    注：发生的诉讼和仲裁情况仅限于供应商败诉的，且与经营活动有关的案件，不包括调解结案的案件。与经营活动有关，但尚未裁决或终审判决的案件请单独另附《情况说明》（说明内容：案件当事人、基本案情）。</w:t>
      </w:r>
    </w:p>
    <w:p w14:paraId="0432F21B"/>
    <w:p w14:paraId="3FF3106B">
      <w:pPr>
        <w:pStyle w:val="29"/>
        <w:rPr>
          <w:color w:val="auto"/>
        </w:rPr>
      </w:pPr>
    </w:p>
    <w:p w14:paraId="1C252DDB"/>
    <w:p w14:paraId="2048F9E6">
      <w:pPr>
        <w:pStyle w:val="29"/>
        <w:rPr>
          <w:color w:val="auto"/>
        </w:rPr>
      </w:pPr>
    </w:p>
    <w:p w14:paraId="1F847115"/>
    <w:p w14:paraId="2328FC8B">
      <w:pPr>
        <w:jc w:val="center"/>
        <w:rPr>
          <w:rFonts w:hint="eastAsia" w:ascii="宋体" w:hAnsi="宋体" w:cs="宋体"/>
          <w:b/>
          <w:bCs/>
          <w:kern w:val="0"/>
          <w:sz w:val="28"/>
          <w:szCs w:val="28"/>
        </w:rPr>
      </w:pPr>
      <w:r>
        <w:rPr>
          <w:rFonts w:hint="eastAsia" w:ascii="宋体" w:hAnsi="宋体" w:cs="宋体"/>
          <w:b/>
          <w:bCs/>
          <w:kern w:val="0"/>
          <w:sz w:val="28"/>
          <w:szCs w:val="28"/>
          <w:lang w:val="en-US" w:eastAsia="zh-CN"/>
        </w:rPr>
        <w:t>十</w:t>
      </w:r>
      <w:r>
        <w:rPr>
          <w:rFonts w:hint="eastAsia" w:ascii="宋体" w:hAnsi="宋体" w:cs="宋体"/>
          <w:b/>
          <w:bCs/>
          <w:kern w:val="0"/>
          <w:sz w:val="28"/>
          <w:szCs w:val="28"/>
        </w:rPr>
        <w:t>、中小企业声明函</w:t>
      </w:r>
    </w:p>
    <w:p w14:paraId="01CFD751">
      <w:pPr>
        <w:widowControl/>
        <w:jc w:val="left"/>
        <w:rPr>
          <w:rFonts w:ascii="宋体" w:hAnsi="宋体" w:eastAsia="宋体" w:cs="宋体"/>
          <w:kern w:val="0"/>
          <w:sz w:val="24"/>
          <w:szCs w:val="24"/>
        </w:rPr>
      </w:pPr>
    </w:p>
    <w:p w14:paraId="55762586">
      <w:pPr>
        <w:spacing w:line="360" w:lineRule="auto"/>
        <w:ind w:firstLine="420" w:firstLineChars="200"/>
      </w:pPr>
      <w:r>
        <w:rPr>
          <w:rFonts w:hint="eastAsia"/>
        </w:rPr>
        <w:t xml:space="preserve">本公司郑重声明，根据《政府采购促进中小企业发展暂行办法》（财库[2011]181号）的规定，本公司为 </w:t>
      </w:r>
      <w:r>
        <w:rPr>
          <w:rFonts w:hint="eastAsia"/>
          <w:u w:val="single"/>
          <w:lang w:val="en-US" w:eastAsia="zh-CN"/>
        </w:rPr>
        <w:t xml:space="preserve">        </w:t>
      </w:r>
      <w:r>
        <w:rPr>
          <w:rFonts w:hint="eastAsia"/>
        </w:rPr>
        <w:t xml:space="preserve">（请填写：中型、小型、微型） 企业。即，本公司同时满足以下条件： </w:t>
      </w:r>
    </w:p>
    <w:p w14:paraId="689D10DF">
      <w:pPr>
        <w:pStyle w:val="9"/>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rPr>
        <w:t>1、</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rPr>
        <w:t xml:space="preserve"> ，属于 </w:t>
      </w:r>
      <w:r>
        <w:rPr>
          <w:rFonts w:hint="eastAsia" w:ascii="宋体" w:hAnsi="宋体" w:eastAsia="宋体" w:cs="宋体"/>
          <w:b/>
          <w:bCs/>
          <w:sz w:val="21"/>
          <w:szCs w:val="21"/>
          <w:u w:val="single"/>
          <w:lang w:val="en-US" w:eastAsia="zh-CN"/>
        </w:rPr>
        <w:t>其他未列明行业</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rPr>
        <w:t xml:space="preserve"> ；承建（承接） 企业为 </w:t>
      </w:r>
      <w:r>
        <w:rPr>
          <w:rFonts w:hint="eastAsia" w:ascii="宋体" w:hAnsi="宋体" w:eastAsia="宋体" w:cs="宋体"/>
          <w:b w:val="0"/>
          <w:bCs w:val="0"/>
          <w:sz w:val="21"/>
          <w:szCs w:val="21"/>
          <w:u w:val="single"/>
        </w:rPr>
        <w:t>（企业名称）</w:t>
      </w:r>
      <w:r>
        <w:rPr>
          <w:rFonts w:hint="eastAsia" w:ascii="宋体" w:hAnsi="宋体" w:eastAsia="宋体" w:cs="宋体"/>
          <w:b w:val="0"/>
          <w:bCs w:val="0"/>
          <w:sz w:val="21"/>
          <w:szCs w:val="21"/>
        </w:rPr>
        <w:t xml:space="preserve"> ，从业人员</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rPr>
        <w:t>万元， 属于</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rPr>
        <w:t>（中型企业、小型企业、微型企业）；</w:t>
      </w:r>
    </w:p>
    <w:p w14:paraId="57B49961">
      <w:pPr>
        <w:pStyle w:val="9"/>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rPr>
        <w:t>2、</w:t>
      </w:r>
      <w:r>
        <w:rPr>
          <w:rFonts w:hint="eastAsia" w:ascii="宋体" w:hAnsi="宋体" w:eastAsia="宋体" w:cs="宋体"/>
          <w:b w:val="0"/>
          <w:bCs w:val="0"/>
          <w:sz w:val="21"/>
          <w:szCs w:val="21"/>
          <w:u w:val="single"/>
        </w:rPr>
        <w:t>（标的名称）</w:t>
      </w:r>
      <w:r>
        <w:rPr>
          <w:rFonts w:hint="eastAsia" w:ascii="宋体" w:hAnsi="宋体" w:eastAsia="宋体" w:cs="宋体"/>
          <w:b w:val="0"/>
          <w:bCs w:val="0"/>
          <w:sz w:val="21"/>
          <w:szCs w:val="21"/>
        </w:rPr>
        <w:t xml:space="preserve"> ，属于 </w:t>
      </w:r>
      <w:r>
        <w:rPr>
          <w:rFonts w:hint="eastAsia" w:ascii="宋体" w:hAnsi="宋体" w:eastAsia="宋体" w:cs="宋体"/>
          <w:b w:val="0"/>
          <w:bCs w:val="0"/>
          <w:sz w:val="21"/>
          <w:szCs w:val="21"/>
          <w:u w:val="single"/>
        </w:rPr>
        <w:t>（采购文件中明确的所属行业）</w:t>
      </w:r>
      <w:r>
        <w:rPr>
          <w:rFonts w:hint="eastAsia" w:ascii="宋体" w:hAnsi="宋体" w:eastAsia="宋体" w:cs="宋体"/>
          <w:b w:val="0"/>
          <w:bCs w:val="0"/>
          <w:sz w:val="21"/>
          <w:szCs w:val="21"/>
        </w:rPr>
        <w:t xml:space="preserve"> ；承建（承接） 企业为</w:t>
      </w:r>
      <w:r>
        <w:rPr>
          <w:rFonts w:hint="eastAsia" w:ascii="宋体" w:hAnsi="宋体" w:eastAsia="宋体" w:cs="宋体"/>
          <w:b w:val="0"/>
          <w:bCs w:val="0"/>
          <w:sz w:val="21"/>
          <w:szCs w:val="21"/>
          <w:u w:val="single"/>
        </w:rPr>
        <w:t>（企业名称）</w:t>
      </w:r>
      <w:r>
        <w:rPr>
          <w:rFonts w:hint="eastAsia" w:ascii="宋体" w:hAnsi="宋体" w:eastAsia="宋体" w:cs="宋体"/>
          <w:b w:val="0"/>
          <w:bCs w:val="0"/>
          <w:sz w:val="21"/>
          <w:szCs w:val="21"/>
        </w:rPr>
        <w:t xml:space="preserve"> ，从业人员</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rPr>
        <w:tab/>
      </w:r>
      <w:r>
        <w:rPr>
          <w:rFonts w:hint="eastAsia" w:ascii="宋体" w:hAnsi="宋体" w:eastAsia="宋体" w:cs="宋体"/>
          <w:b w:val="0"/>
          <w:bCs w:val="0"/>
          <w:sz w:val="21"/>
          <w:szCs w:val="21"/>
        </w:rPr>
        <w:t>人，营业收入为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u w:val="single"/>
        </w:rPr>
        <w:tab/>
      </w:r>
      <w:r>
        <w:rPr>
          <w:rFonts w:hint="eastAsia" w:ascii="宋体" w:hAnsi="宋体" w:eastAsia="宋体" w:cs="宋体"/>
          <w:b w:val="0"/>
          <w:bCs w:val="0"/>
          <w:sz w:val="21"/>
          <w:szCs w:val="21"/>
        </w:rPr>
        <w:t>万元，资产总额为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u w:val="single"/>
        </w:rPr>
        <w:tab/>
      </w:r>
      <w:r>
        <w:rPr>
          <w:rFonts w:hint="eastAsia" w:ascii="宋体" w:hAnsi="宋体" w:eastAsia="宋体" w:cs="宋体"/>
          <w:b w:val="0"/>
          <w:bCs w:val="0"/>
          <w:sz w:val="21"/>
          <w:szCs w:val="21"/>
        </w:rPr>
        <w:t>万元，属于</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rPr>
        <w:t>（中型企业、小型企业、微型企业）；</w:t>
      </w:r>
    </w:p>
    <w:p w14:paraId="0BB93FF7">
      <w:pPr>
        <w:pStyle w:val="9"/>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w:t>
      </w:r>
    </w:p>
    <w:p w14:paraId="02E6455C">
      <w:pPr>
        <w:pStyle w:val="9"/>
        <w:spacing w:line="48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以上企业，不属于大企业的分支机构，不存在控股股东为大企业的情形，也不存在与大企业的负责人为同一人的情形。</w:t>
      </w:r>
    </w:p>
    <w:p w14:paraId="67D7CB14">
      <w:pPr>
        <w:spacing w:line="360" w:lineRule="auto"/>
        <w:ind w:firstLine="420" w:firstLineChars="200"/>
      </w:pPr>
      <w:r>
        <w:t>本企业对上述声明内容的真实性负责。如有虚假，将依法承担相应责任。</w:t>
      </w:r>
      <w:r>
        <w:rPr>
          <w:rFonts w:hint="eastAsia"/>
        </w:rPr>
        <w:t xml:space="preserve"> </w:t>
      </w:r>
    </w:p>
    <w:p w14:paraId="29A5BCF2">
      <w:pPr>
        <w:pStyle w:val="9"/>
      </w:pPr>
    </w:p>
    <w:p w14:paraId="6E5945B9"/>
    <w:p w14:paraId="660227AB">
      <w:pPr>
        <w:pStyle w:val="9"/>
      </w:pPr>
    </w:p>
    <w:p w14:paraId="53D064A1"/>
    <w:p w14:paraId="6C85E16A">
      <w:pPr>
        <w:pStyle w:val="9"/>
      </w:pPr>
    </w:p>
    <w:p w14:paraId="0216CB33">
      <w:pPr>
        <w:spacing w:line="360" w:lineRule="auto"/>
      </w:pPr>
      <w:r>
        <w:rPr>
          <w:rFonts w:hint="eastAsia"/>
        </w:rPr>
        <w:t>供应商名称：</w:t>
      </w:r>
      <w:r>
        <w:rPr>
          <w:rFonts w:hint="eastAsia"/>
          <w:u w:val="single"/>
        </w:rPr>
        <w:t xml:space="preserve">                         </w:t>
      </w:r>
      <w:r>
        <w:rPr>
          <w:rFonts w:hint="eastAsia"/>
        </w:rPr>
        <w:t>（盖章）</w:t>
      </w:r>
    </w:p>
    <w:p w14:paraId="49908C83">
      <w:pPr>
        <w:spacing w:line="360" w:lineRule="auto"/>
      </w:pPr>
      <w:r>
        <w:rPr>
          <w:rFonts w:hint="eastAsia"/>
        </w:rPr>
        <w:t>供应商法定代表人或委托代理人：</w:t>
      </w:r>
      <w:r>
        <w:rPr>
          <w:rFonts w:hint="eastAsia"/>
          <w:u w:val="single"/>
        </w:rPr>
        <w:t xml:space="preserve">               </w:t>
      </w:r>
      <w:r>
        <w:rPr>
          <w:rFonts w:hint="eastAsia"/>
        </w:rPr>
        <w:t>签字</w:t>
      </w:r>
    </w:p>
    <w:p w14:paraId="052B4433">
      <w:pPr>
        <w:spacing w:line="360" w:lineRule="auto"/>
      </w:pPr>
      <w:r>
        <w:rPr>
          <w:rFonts w:hint="eastAsia"/>
        </w:rPr>
        <w:t>时 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80C318B"/>
    <w:p w14:paraId="58B97F05">
      <w:pPr>
        <w:spacing w:line="320" w:lineRule="exact"/>
        <w:ind w:firstLine="420" w:firstLineChars="200"/>
      </w:pPr>
    </w:p>
    <w:p w14:paraId="05485C30">
      <w:pPr>
        <w:spacing w:line="240" w:lineRule="atLeast"/>
        <w:ind w:left="-48" w:leftChars="-23" w:right="-65" w:rightChars="-31"/>
        <w:jc w:val="center"/>
        <w:rPr>
          <w:rFonts w:ascii="宋体" w:hAnsi="宋体"/>
          <w:b/>
          <w:sz w:val="24"/>
          <w:szCs w:val="24"/>
        </w:rPr>
      </w:pPr>
    </w:p>
    <w:p w14:paraId="45E3B070">
      <w:pPr>
        <w:pStyle w:val="18"/>
        <w:rPr>
          <w:rFonts w:ascii="宋体" w:hAnsi="宋体"/>
          <w:b/>
          <w:sz w:val="24"/>
          <w:szCs w:val="24"/>
        </w:rPr>
      </w:pPr>
    </w:p>
    <w:p w14:paraId="6E8146CB">
      <w:pPr>
        <w:rPr>
          <w:rFonts w:ascii="宋体" w:hAnsi="宋体"/>
          <w:b/>
          <w:sz w:val="24"/>
          <w:szCs w:val="24"/>
        </w:rPr>
      </w:pPr>
    </w:p>
    <w:p w14:paraId="052B07E8">
      <w:pPr>
        <w:pStyle w:val="18"/>
      </w:pPr>
    </w:p>
    <w:p w14:paraId="582AF3DE">
      <w:pPr>
        <w:spacing w:line="240" w:lineRule="atLeast"/>
        <w:ind w:left="-48" w:leftChars="-23" w:right="-65" w:rightChars="-31"/>
        <w:jc w:val="center"/>
        <w:outlineLvl w:val="0"/>
        <w:rPr>
          <w:rFonts w:ascii="宋体" w:hAnsi="宋体"/>
          <w:b/>
          <w:sz w:val="24"/>
          <w:szCs w:val="24"/>
        </w:rPr>
      </w:pPr>
      <w:bookmarkStart w:id="136" w:name="_Toc5228"/>
      <w:bookmarkStart w:id="137" w:name="_Toc11105"/>
      <w:r>
        <w:rPr>
          <w:rFonts w:hint="eastAsia" w:ascii="宋体" w:hAnsi="宋体"/>
          <w:b/>
          <w:sz w:val="24"/>
          <w:szCs w:val="24"/>
        </w:rPr>
        <w:t>中小企业划型标准</w:t>
      </w:r>
      <w:bookmarkEnd w:id="136"/>
      <w:bookmarkEnd w:id="137"/>
    </w:p>
    <w:tbl>
      <w:tblPr>
        <w:tblStyle w:val="23"/>
        <w:tblW w:w="5630" w:type="pct"/>
        <w:jc w:val="center"/>
        <w:tblLayout w:type="fixed"/>
        <w:tblCellMar>
          <w:top w:w="0" w:type="dxa"/>
          <w:left w:w="108" w:type="dxa"/>
          <w:bottom w:w="0" w:type="dxa"/>
          <w:right w:w="108" w:type="dxa"/>
        </w:tblCellMar>
      </w:tblPr>
      <w:tblGrid>
        <w:gridCol w:w="310"/>
        <w:gridCol w:w="1241"/>
        <w:gridCol w:w="761"/>
        <w:gridCol w:w="584"/>
        <w:gridCol w:w="600"/>
        <w:gridCol w:w="703"/>
        <w:gridCol w:w="597"/>
        <w:gridCol w:w="637"/>
        <w:gridCol w:w="702"/>
        <w:gridCol w:w="608"/>
        <w:gridCol w:w="640"/>
        <w:gridCol w:w="702"/>
        <w:gridCol w:w="704"/>
        <w:gridCol w:w="808"/>
      </w:tblGrid>
      <w:tr w14:paraId="2A73667C">
        <w:tblPrEx>
          <w:tblCellMar>
            <w:top w:w="0" w:type="dxa"/>
            <w:left w:w="108" w:type="dxa"/>
            <w:bottom w:w="0" w:type="dxa"/>
            <w:right w:w="108" w:type="dxa"/>
          </w:tblCellMar>
        </w:tblPrEx>
        <w:trPr>
          <w:trHeight w:val="503" w:hRule="atLeast"/>
          <w:tblHeader/>
          <w:jc w:val="center"/>
        </w:trPr>
        <w:tc>
          <w:tcPr>
            <w:tcW w:w="161" w:type="pct"/>
            <w:vMerge w:val="restart"/>
            <w:tcBorders>
              <w:top w:val="single" w:color="auto" w:sz="4" w:space="0"/>
              <w:left w:val="single" w:color="auto" w:sz="4" w:space="0"/>
              <w:right w:val="single" w:color="auto" w:sz="4" w:space="0"/>
            </w:tcBorders>
            <w:noWrap/>
            <w:vAlign w:val="center"/>
          </w:tcPr>
          <w:p w14:paraId="652B5DB2">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序号</w:t>
            </w:r>
          </w:p>
        </w:tc>
        <w:tc>
          <w:tcPr>
            <w:tcW w:w="646" w:type="pct"/>
            <w:vMerge w:val="restart"/>
            <w:tcBorders>
              <w:top w:val="single" w:color="auto" w:sz="4" w:space="0"/>
              <w:left w:val="nil"/>
              <w:right w:val="single" w:color="auto" w:sz="4" w:space="0"/>
            </w:tcBorders>
            <w:vAlign w:val="center"/>
          </w:tcPr>
          <w:p w14:paraId="4815C261">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行业</w:t>
            </w:r>
          </w:p>
        </w:tc>
        <w:tc>
          <w:tcPr>
            <w:tcW w:w="1013" w:type="pct"/>
            <w:gridSpan w:val="3"/>
            <w:tcBorders>
              <w:top w:val="single" w:color="auto" w:sz="4" w:space="0"/>
              <w:left w:val="nil"/>
              <w:bottom w:val="single" w:color="auto" w:sz="4" w:space="0"/>
              <w:right w:val="single" w:color="auto" w:sz="4" w:space="0"/>
            </w:tcBorders>
            <w:noWrap/>
            <w:vAlign w:val="center"/>
          </w:tcPr>
          <w:p w14:paraId="716A58FA">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大型企业</w:t>
            </w:r>
          </w:p>
        </w:tc>
        <w:tc>
          <w:tcPr>
            <w:tcW w:w="1009" w:type="pct"/>
            <w:gridSpan w:val="3"/>
            <w:tcBorders>
              <w:top w:val="single" w:color="auto" w:sz="4" w:space="0"/>
              <w:left w:val="nil"/>
              <w:bottom w:val="single" w:color="auto" w:sz="4" w:space="0"/>
              <w:right w:val="single" w:color="auto" w:sz="4" w:space="0"/>
            </w:tcBorders>
            <w:noWrap/>
            <w:vAlign w:val="center"/>
          </w:tcPr>
          <w:p w14:paraId="4A29EE68">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中型企业</w:t>
            </w:r>
          </w:p>
        </w:tc>
        <w:tc>
          <w:tcPr>
            <w:tcW w:w="1015" w:type="pct"/>
            <w:gridSpan w:val="3"/>
            <w:tcBorders>
              <w:top w:val="single" w:color="auto" w:sz="4" w:space="0"/>
              <w:left w:val="nil"/>
              <w:bottom w:val="single" w:color="auto" w:sz="4" w:space="0"/>
              <w:right w:val="single" w:color="auto" w:sz="4" w:space="0"/>
            </w:tcBorders>
            <w:noWrap/>
            <w:vAlign w:val="center"/>
          </w:tcPr>
          <w:p w14:paraId="54A89442">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小型企业</w:t>
            </w:r>
          </w:p>
        </w:tc>
        <w:tc>
          <w:tcPr>
            <w:tcW w:w="1153" w:type="pct"/>
            <w:gridSpan w:val="3"/>
            <w:tcBorders>
              <w:top w:val="single" w:color="auto" w:sz="4" w:space="0"/>
              <w:left w:val="nil"/>
              <w:bottom w:val="single" w:color="auto" w:sz="4" w:space="0"/>
              <w:right w:val="single" w:color="auto" w:sz="4" w:space="0"/>
            </w:tcBorders>
            <w:noWrap/>
            <w:vAlign w:val="center"/>
          </w:tcPr>
          <w:p w14:paraId="141BA01B">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微型企业</w:t>
            </w:r>
          </w:p>
        </w:tc>
      </w:tr>
      <w:tr w14:paraId="4E033386">
        <w:tblPrEx>
          <w:tblCellMar>
            <w:top w:w="0" w:type="dxa"/>
            <w:left w:w="108" w:type="dxa"/>
            <w:bottom w:w="0" w:type="dxa"/>
            <w:right w:w="108" w:type="dxa"/>
          </w:tblCellMar>
        </w:tblPrEx>
        <w:trPr>
          <w:trHeight w:val="1168" w:hRule="atLeast"/>
          <w:tblHeader/>
          <w:jc w:val="center"/>
        </w:trPr>
        <w:tc>
          <w:tcPr>
            <w:tcW w:w="161" w:type="pct"/>
            <w:vMerge w:val="continue"/>
            <w:tcBorders>
              <w:left w:val="single" w:color="auto" w:sz="4" w:space="0"/>
              <w:bottom w:val="single" w:color="auto" w:sz="4" w:space="0"/>
              <w:right w:val="single" w:color="auto" w:sz="4" w:space="0"/>
            </w:tcBorders>
            <w:noWrap/>
            <w:vAlign w:val="center"/>
          </w:tcPr>
          <w:p w14:paraId="462DF80A">
            <w:pPr>
              <w:spacing w:line="240" w:lineRule="exact"/>
              <w:ind w:left="-48" w:leftChars="-23" w:right="-65" w:rightChars="-31"/>
              <w:jc w:val="center"/>
              <w:rPr>
                <w:rFonts w:ascii="宋体" w:hAnsi="宋体" w:cs="宋体"/>
                <w:b/>
                <w:sz w:val="18"/>
                <w:szCs w:val="18"/>
              </w:rPr>
            </w:pPr>
          </w:p>
        </w:tc>
        <w:tc>
          <w:tcPr>
            <w:tcW w:w="646" w:type="pct"/>
            <w:vMerge w:val="continue"/>
            <w:tcBorders>
              <w:left w:val="nil"/>
              <w:bottom w:val="single" w:color="auto" w:sz="4" w:space="0"/>
              <w:right w:val="single" w:color="auto" w:sz="4" w:space="0"/>
            </w:tcBorders>
            <w:vAlign w:val="center"/>
          </w:tcPr>
          <w:p w14:paraId="52977F14">
            <w:pPr>
              <w:spacing w:line="240" w:lineRule="exact"/>
              <w:ind w:left="-48" w:leftChars="-23" w:right="-65" w:rightChars="-31"/>
              <w:rPr>
                <w:rFonts w:ascii="宋体" w:hAnsi="宋体" w:cs="宋体"/>
                <w:b/>
                <w:sz w:val="18"/>
                <w:szCs w:val="18"/>
              </w:rPr>
            </w:pPr>
          </w:p>
        </w:tc>
        <w:tc>
          <w:tcPr>
            <w:tcW w:w="396" w:type="pct"/>
            <w:tcBorders>
              <w:top w:val="nil"/>
              <w:left w:val="nil"/>
              <w:bottom w:val="single" w:color="auto" w:sz="4" w:space="0"/>
              <w:right w:val="single" w:color="auto" w:sz="4" w:space="0"/>
            </w:tcBorders>
            <w:noWrap/>
            <w:vAlign w:val="center"/>
          </w:tcPr>
          <w:p w14:paraId="3A1EC3E1">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营业收入</w:t>
            </w:r>
          </w:p>
          <w:p w14:paraId="0207011D">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c>
          <w:tcPr>
            <w:tcW w:w="304" w:type="pct"/>
            <w:tcBorders>
              <w:top w:val="nil"/>
              <w:left w:val="nil"/>
              <w:bottom w:val="single" w:color="auto" w:sz="4" w:space="0"/>
              <w:right w:val="single" w:color="auto" w:sz="4" w:space="0"/>
            </w:tcBorders>
            <w:noWrap/>
            <w:vAlign w:val="center"/>
          </w:tcPr>
          <w:p w14:paraId="5D93B27F">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从业人员</w:t>
            </w:r>
          </w:p>
          <w:p w14:paraId="2304B781">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(人)</w:t>
            </w:r>
          </w:p>
        </w:tc>
        <w:tc>
          <w:tcPr>
            <w:tcW w:w="312" w:type="pct"/>
            <w:tcBorders>
              <w:top w:val="nil"/>
              <w:left w:val="nil"/>
              <w:bottom w:val="single" w:color="auto" w:sz="4" w:space="0"/>
              <w:right w:val="single" w:color="auto" w:sz="4" w:space="0"/>
            </w:tcBorders>
            <w:noWrap/>
            <w:vAlign w:val="center"/>
          </w:tcPr>
          <w:p w14:paraId="26962468">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总资产</w:t>
            </w:r>
          </w:p>
          <w:p w14:paraId="7D5D7DB3">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c>
          <w:tcPr>
            <w:tcW w:w="366" w:type="pct"/>
            <w:tcBorders>
              <w:top w:val="nil"/>
              <w:left w:val="nil"/>
              <w:bottom w:val="single" w:color="auto" w:sz="4" w:space="0"/>
              <w:right w:val="single" w:color="auto" w:sz="4" w:space="0"/>
            </w:tcBorders>
            <w:noWrap/>
            <w:vAlign w:val="center"/>
          </w:tcPr>
          <w:p w14:paraId="2C56153D">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营业收入</w:t>
            </w:r>
          </w:p>
          <w:p w14:paraId="198A4E55">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c>
          <w:tcPr>
            <w:tcW w:w="311" w:type="pct"/>
            <w:tcBorders>
              <w:top w:val="nil"/>
              <w:left w:val="nil"/>
              <w:bottom w:val="single" w:color="auto" w:sz="4" w:space="0"/>
              <w:right w:val="single" w:color="auto" w:sz="4" w:space="0"/>
            </w:tcBorders>
            <w:noWrap/>
            <w:vAlign w:val="center"/>
          </w:tcPr>
          <w:p w14:paraId="122BA8C1">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从业人员</w:t>
            </w:r>
          </w:p>
          <w:p w14:paraId="414762B5">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(人)</w:t>
            </w:r>
          </w:p>
        </w:tc>
        <w:tc>
          <w:tcPr>
            <w:tcW w:w="331" w:type="pct"/>
            <w:tcBorders>
              <w:top w:val="nil"/>
              <w:left w:val="nil"/>
              <w:bottom w:val="single" w:color="auto" w:sz="4" w:space="0"/>
              <w:right w:val="single" w:color="auto" w:sz="4" w:space="0"/>
            </w:tcBorders>
            <w:noWrap/>
            <w:vAlign w:val="center"/>
          </w:tcPr>
          <w:p w14:paraId="27DA5DF4">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总资产</w:t>
            </w:r>
          </w:p>
          <w:p w14:paraId="0A9E1A28">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c>
          <w:tcPr>
            <w:tcW w:w="365" w:type="pct"/>
            <w:tcBorders>
              <w:top w:val="nil"/>
              <w:left w:val="nil"/>
              <w:bottom w:val="single" w:color="auto" w:sz="4" w:space="0"/>
              <w:right w:val="single" w:color="auto" w:sz="4" w:space="0"/>
            </w:tcBorders>
            <w:noWrap/>
            <w:vAlign w:val="center"/>
          </w:tcPr>
          <w:p w14:paraId="0B13D9B7">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营业收入</w:t>
            </w:r>
          </w:p>
          <w:p w14:paraId="34003E6A">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c>
          <w:tcPr>
            <w:tcW w:w="316" w:type="pct"/>
            <w:tcBorders>
              <w:top w:val="nil"/>
              <w:left w:val="nil"/>
              <w:bottom w:val="single" w:color="auto" w:sz="4" w:space="0"/>
              <w:right w:val="single" w:color="auto" w:sz="4" w:space="0"/>
            </w:tcBorders>
            <w:noWrap/>
            <w:vAlign w:val="center"/>
          </w:tcPr>
          <w:p w14:paraId="755B0B05">
            <w:pPr>
              <w:spacing w:line="240" w:lineRule="exact"/>
              <w:ind w:left="95" w:leftChars="-23" w:right="-65" w:rightChars="-31" w:hanging="143" w:hangingChars="79"/>
              <w:jc w:val="center"/>
              <w:rPr>
                <w:rFonts w:ascii="宋体" w:hAnsi="宋体" w:cs="宋体"/>
                <w:b/>
                <w:sz w:val="18"/>
                <w:szCs w:val="18"/>
              </w:rPr>
            </w:pPr>
            <w:r>
              <w:rPr>
                <w:rFonts w:hint="eastAsia" w:ascii="宋体" w:hAnsi="宋体" w:cs="宋体"/>
                <w:b/>
                <w:sz w:val="18"/>
                <w:szCs w:val="18"/>
              </w:rPr>
              <w:t>从业人员</w:t>
            </w:r>
          </w:p>
          <w:p w14:paraId="076F720D">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(人)</w:t>
            </w:r>
          </w:p>
        </w:tc>
        <w:tc>
          <w:tcPr>
            <w:tcW w:w="333" w:type="pct"/>
            <w:tcBorders>
              <w:top w:val="nil"/>
              <w:left w:val="nil"/>
              <w:bottom w:val="single" w:color="auto" w:sz="4" w:space="0"/>
              <w:right w:val="single" w:color="auto" w:sz="4" w:space="0"/>
            </w:tcBorders>
            <w:noWrap/>
            <w:vAlign w:val="center"/>
          </w:tcPr>
          <w:p w14:paraId="21EC0846">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总资产</w:t>
            </w:r>
          </w:p>
          <w:p w14:paraId="27545BE3">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c>
          <w:tcPr>
            <w:tcW w:w="365" w:type="pct"/>
            <w:tcBorders>
              <w:top w:val="nil"/>
              <w:left w:val="nil"/>
              <w:bottom w:val="single" w:color="auto" w:sz="4" w:space="0"/>
              <w:right w:val="single" w:color="auto" w:sz="4" w:space="0"/>
            </w:tcBorders>
            <w:noWrap/>
            <w:vAlign w:val="center"/>
          </w:tcPr>
          <w:p w14:paraId="2CF1CF44">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营业收入</w:t>
            </w:r>
          </w:p>
          <w:p w14:paraId="185646EF">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c>
          <w:tcPr>
            <w:tcW w:w="366" w:type="pct"/>
            <w:tcBorders>
              <w:top w:val="nil"/>
              <w:left w:val="nil"/>
              <w:bottom w:val="single" w:color="auto" w:sz="4" w:space="0"/>
              <w:right w:val="single" w:color="auto" w:sz="4" w:space="0"/>
            </w:tcBorders>
            <w:noWrap/>
            <w:vAlign w:val="center"/>
          </w:tcPr>
          <w:p w14:paraId="243B7C97">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从业人员</w:t>
            </w:r>
          </w:p>
          <w:p w14:paraId="740E9934">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(人)</w:t>
            </w:r>
          </w:p>
        </w:tc>
        <w:tc>
          <w:tcPr>
            <w:tcW w:w="420" w:type="pct"/>
            <w:tcBorders>
              <w:top w:val="nil"/>
              <w:left w:val="nil"/>
              <w:bottom w:val="single" w:color="auto" w:sz="4" w:space="0"/>
              <w:right w:val="single" w:color="auto" w:sz="4" w:space="0"/>
            </w:tcBorders>
            <w:noWrap/>
            <w:vAlign w:val="center"/>
          </w:tcPr>
          <w:p w14:paraId="0C6E2BCF">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总资产</w:t>
            </w:r>
          </w:p>
          <w:p w14:paraId="1B4D003F">
            <w:pPr>
              <w:spacing w:line="240" w:lineRule="exact"/>
              <w:ind w:left="-48" w:leftChars="-23" w:right="-65" w:rightChars="-31"/>
              <w:jc w:val="center"/>
              <w:rPr>
                <w:rFonts w:ascii="宋体" w:hAnsi="宋体" w:cs="宋体"/>
                <w:b/>
                <w:sz w:val="18"/>
                <w:szCs w:val="18"/>
              </w:rPr>
            </w:pPr>
            <w:r>
              <w:rPr>
                <w:rFonts w:hint="eastAsia" w:ascii="宋体" w:hAnsi="宋体" w:cs="宋体"/>
                <w:b/>
                <w:sz w:val="18"/>
                <w:szCs w:val="18"/>
              </w:rPr>
              <w:t>(万元)</w:t>
            </w:r>
          </w:p>
        </w:tc>
      </w:tr>
      <w:tr w14:paraId="5BFD8B9D">
        <w:tblPrEx>
          <w:tblCellMar>
            <w:top w:w="0" w:type="dxa"/>
            <w:left w:w="108" w:type="dxa"/>
            <w:bottom w:w="0" w:type="dxa"/>
            <w:right w:w="108" w:type="dxa"/>
          </w:tblCellMar>
        </w:tblPrEx>
        <w:trPr>
          <w:trHeight w:val="708" w:hRule="exact"/>
          <w:jc w:val="center"/>
        </w:trPr>
        <w:tc>
          <w:tcPr>
            <w:tcW w:w="161" w:type="pct"/>
            <w:tcBorders>
              <w:top w:val="single" w:color="auto" w:sz="4" w:space="0"/>
              <w:left w:val="single" w:color="auto" w:sz="4" w:space="0"/>
              <w:bottom w:val="single" w:color="auto" w:sz="4" w:space="0"/>
              <w:right w:val="single" w:color="auto" w:sz="4" w:space="0"/>
            </w:tcBorders>
            <w:noWrap/>
            <w:vAlign w:val="center"/>
          </w:tcPr>
          <w:p w14:paraId="58D2C4C4">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w:t>
            </w:r>
          </w:p>
        </w:tc>
        <w:tc>
          <w:tcPr>
            <w:tcW w:w="646" w:type="pct"/>
            <w:tcBorders>
              <w:top w:val="single" w:color="auto" w:sz="4" w:space="0"/>
              <w:left w:val="nil"/>
              <w:bottom w:val="single" w:color="auto" w:sz="4" w:space="0"/>
              <w:right w:val="single" w:color="auto" w:sz="4" w:space="0"/>
            </w:tcBorders>
            <w:vAlign w:val="center"/>
          </w:tcPr>
          <w:p w14:paraId="1531781B">
            <w:pPr>
              <w:spacing w:line="240" w:lineRule="exact"/>
              <w:ind w:left="-27" w:leftChars="-13" w:right="-65" w:rightChars="-31"/>
              <w:rPr>
                <w:rFonts w:ascii="宋体" w:hAnsi="宋体" w:cs="宋体"/>
                <w:b/>
                <w:sz w:val="18"/>
                <w:szCs w:val="18"/>
              </w:rPr>
            </w:pPr>
            <w:r>
              <w:rPr>
                <w:rFonts w:hint="eastAsia" w:ascii="宋体" w:hAnsi="宋体" w:cs="宋体"/>
                <w:b/>
                <w:sz w:val="18"/>
                <w:szCs w:val="18"/>
              </w:rPr>
              <w:t>农、林、牧、渔业</w:t>
            </w:r>
          </w:p>
        </w:tc>
        <w:tc>
          <w:tcPr>
            <w:tcW w:w="396" w:type="pct"/>
            <w:tcBorders>
              <w:top w:val="single" w:color="auto" w:sz="4" w:space="0"/>
              <w:left w:val="nil"/>
              <w:bottom w:val="single" w:color="auto" w:sz="4" w:space="0"/>
              <w:right w:val="single" w:color="auto" w:sz="4" w:space="0"/>
            </w:tcBorders>
            <w:noWrap/>
            <w:vAlign w:val="center"/>
          </w:tcPr>
          <w:p w14:paraId="1297E080">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≥20000</w:t>
            </w:r>
          </w:p>
        </w:tc>
        <w:tc>
          <w:tcPr>
            <w:tcW w:w="304" w:type="pct"/>
            <w:tcBorders>
              <w:top w:val="nil"/>
              <w:left w:val="nil"/>
              <w:bottom w:val="single" w:color="auto" w:sz="4" w:space="0"/>
              <w:right w:val="single" w:color="auto" w:sz="4" w:space="0"/>
            </w:tcBorders>
            <w:noWrap/>
            <w:vAlign w:val="center"/>
          </w:tcPr>
          <w:p w14:paraId="75F46E03">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12" w:type="pct"/>
            <w:tcBorders>
              <w:top w:val="nil"/>
              <w:left w:val="nil"/>
              <w:bottom w:val="single" w:color="auto" w:sz="4" w:space="0"/>
              <w:right w:val="single" w:color="auto" w:sz="4" w:space="0"/>
            </w:tcBorders>
            <w:noWrap/>
            <w:vAlign w:val="center"/>
          </w:tcPr>
          <w:p w14:paraId="27B151D4">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24F87180">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≥500</w:t>
            </w:r>
          </w:p>
        </w:tc>
        <w:tc>
          <w:tcPr>
            <w:tcW w:w="311" w:type="pct"/>
            <w:tcBorders>
              <w:top w:val="nil"/>
              <w:left w:val="nil"/>
              <w:bottom w:val="single" w:color="auto" w:sz="4" w:space="0"/>
              <w:right w:val="single" w:color="auto" w:sz="4" w:space="0"/>
            </w:tcBorders>
            <w:noWrap/>
            <w:vAlign w:val="center"/>
          </w:tcPr>
          <w:p w14:paraId="6B3A0A01">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31" w:type="pct"/>
            <w:tcBorders>
              <w:top w:val="nil"/>
              <w:left w:val="nil"/>
              <w:bottom w:val="single" w:color="auto" w:sz="4" w:space="0"/>
              <w:right w:val="single" w:color="auto" w:sz="4" w:space="0"/>
            </w:tcBorders>
            <w:noWrap/>
            <w:vAlign w:val="center"/>
          </w:tcPr>
          <w:p w14:paraId="2F49DB38">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047628AA">
            <w:pPr>
              <w:spacing w:line="240" w:lineRule="exact"/>
              <w:jc w:val="center"/>
              <w:rPr>
                <w:rFonts w:ascii="宋体" w:hAnsi="宋体" w:cs="宋体"/>
                <w:sz w:val="18"/>
                <w:szCs w:val="18"/>
              </w:rPr>
            </w:pPr>
            <w:r>
              <w:rPr>
                <w:rFonts w:hint="eastAsia" w:ascii="宋体" w:hAnsi="宋体" w:cs="宋体"/>
                <w:sz w:val="18"/>
                <w:szCs w:val="18"/>
              </w:rPr>
              <w:t>≥50</w:t>
            </w:r>
          </w:p>
        </w:tc>
        <w:tc>
          <w:tcPr>
            <w:tcW w:w="316" w:type="pct"/>
            <w:tcBorders>
              <w:top w:val="nil"/>
              <w:left w:val="nil"/>
              <w:bottom w:val="single" w:color="auto" w:sz="4" w:space="0"/>
              <w:right w:val="single" w:color="auto" w:sz="4" w:space="0"/>
            </w:tcBorders>
            <w:noWrap/>
            <w:vAlign w:val="center"/>
          </w:tcPr>
          <w:p w14:paraId="1A9E90F2">
            <w:pPr>
              <w:spacing w:line="240" w:lineRule="exact"/>
              <w:jc w:val="center"/>
              <w:rPr>
                <w:rFonts w:ascii="宋体" w:hAnsi="宋体" w:cs="宋体"/>
                <w:sz w:val="18"/>
                <w:szCs w:val="18"/>
              </w:rPr>
            </w:pPr>
            <w:r>
              <w:rPr>
                <w:rFonts w:hint="eastAsia" w:ascii="宋体" w:hAnsi="宋体" w:cs="宋体"/>
                <w:sz w:val="18"/>
                <w:szCs w:val="18"/>
              </w:rPr>
              <w:t>　</w:t>
            </w:r>
          </w:p>
        </w:tc>
        <w:tc>
          <w:tcPr>
            <w:tcW w:w="333" w:type="pct"/>
            <w:tcBorders>
              <w:top w:val="nil"/>
              <w:left w:val="nil"/>
              <w:bottom w:val="single" w:color="auto" w:sz="4" w:space="0"/>
              <w:right w:val="single" w:color="auto" w:sz="4" w:space="0"/>
            </w:tcBorders>
            <w:noWrap/>
            <w:vAlign w:val="center"/>
          </w:tcPr>
          <w:p w14:paraId="0E6866FD">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5AA53903">
            <w:pPr>
              <w:spacing w:line="240" w:lineRule="exact"/>
              <w:jc w:val="center"/>
              <w:rPr>
                <w:rFonts w:ascii="宋体" w:hAnsi="宋体" w:cs="宋体"/>
                <w:sz w:val="18"/>
                <w:szCs w:val="18"/>
              </w:rPr>
            </w:pPr>
            <w:r>
              <w:rPr>
                <w:rFonts w:hint="eastAsia" w:ascii="宋体" w:hAnsi="宋体" w:cs="宋体"/>
                <w:sz w:val="18"/>
                <w:szCs w:val="18"/>
              </w:rPr>
              <w:t>＜50</w:t>
            </w:r>
          </w:p>
        </w:tc>
        <w:tc>
          <w:tcPr>
            <w:tcW w:w="366" w:type="pct"/>
            <w:tcBorders>
              <w:top w:val="nil"/>
              <w:left w:val="nil"/>
              <w:bottom w:val="single" w:color="auto" w:sz="4" w:space="0"/>
              <w:right w:val="single" w:color="auto" w:sz="4" w:space="0"/>
            </w:tcBorders>
            <w:noWrap/>
            <w:vAlign w:val="center"/>
          </w:tcPr>
          <w:p w14:paraId="792D37D1">
            <w:pPr>
              <w:spacing w:line="240" w:lineRule="exact"/>
              <w:jc w:val="center"/>
              <w:rPr>
                <w:rFonts w:ascii="宋体" w:hAnsi="宋体" w:cs="宋体"/>
                <w:sz w:val="18"/>
                <w:szCs w:val="18"/>
              </w:rPr>
            </w:pPr>
            <w:r>
              <w:rPr>
                <w:rFonts w:hint="eastAsia" w:ascii="宋体" w:hAnsi="宋体" w:cs="宋体"/>
                <w:sz w:val="18"/>
                <w:szCs w:val="18"/>
              </w:rPr>
              <w:t>　</w:t>
            </w:r>
          </w:p>
        </w:tc>
        <w:tc>
          <w:tcPr>
            <w:tcW w:w="420" w:type="pct"/>
            <w:tcBorders>
              <w:top w:val="nil"/>
              <w:left w:val="nil"/>
              <w:bottom w:val="single" w:color="auto" w:sz="4" w:space="0"/>
              <w:right w:val="single" w:color="auto" w:sz="4" w:space="0"/>
            </w:tcBorders>
            <w:noWrap/>
            <w:vAlign w:val="center"/>
          </w:tcPr>
          <w:p w14:paraId="069D239E">
            <w:pPr>
              <w:spacing w:line="240" w:lineRule="exact"/>
              <w:jc w:val="center"/>
              <w:rPr>
                <w:rFonts w:ascii="宋体" w:hAnsi="宋体" w:cs="宋体"/>
                <w:sz w:val="18"/>
                <w:szCs w:val="18"/>
              </w:rPr>
            </w:pPr>
            <w:r>
              <w:rPr>
                <w:rFonts w:hint="eastAsia" w:ascii="宋体" w:hAnsi="宋体" w:cs="宋体"/>
                <w:sz w:val="18"/>
                <w:szCs w:val="18"/>
              </w:rPr>
              <w:t>　</w:t>
            </w:r>
          </w:p>
        </w:tc>
      </w:tr>
      <w:tr w14:paraId="3163E288">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741E3F7B">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2</w:t>
            </w:r>
          </w:p>
        </w:tc>
        <w:tc>
          <w:tcPr>
            <w:tcW w:w="646" w:type="pct"/>
            <w:tcBorders>
              <w:top w:val="nil"/>
              <w:left w:val="nil"/>
              <w:bottom w:val="single" w:color="auto" w:sz="4" w:space="0"/>
              <w:right w:val="single" w:color="auto" w:sz="4" w:space="0"/>
            </w:tcBorders>
            <w:vAlign w:val="center"/>
          </w:tcPr>
          <w:p w14:paraId="0AA127C3">
            <w:pPr>
              <w:spacing w:line="240" w:lineRule="exact"/>
              <w:ind w:left="-27" w:leftChars="-13" w:right="-65" w:rightChars="-31"/>
              <w:rPr>
                <w:rFonts w:ascii="宋体" w:hAnsi="宋体" w:cs="宋体"/>
                <w:b/>
                <w:sz w:val="18"/>
                <w:szCs w:val="18"/>
              </w:rPr>
            </w:pPr>
            <w:r>
              <w:rPr>
                <w:rFonts w:hint="eastAsia" w:ascii="宋体" w:hAnsi="宋体" w:cs="宋体"/>
                <w:b/>
                <w:sz w:val="18"/>
                <w:szCs w:val="18"/>
              </w:rPr>
              <w:t>工业</w:t>
            </w:r>
          </w:p>
        </w:tc>
        <w:tc>
          <w:tcPr>
            <w:tcW w:w="396" w:type="pct"/>
            <w:tcBorders>
              <w:top w:val="nil"/>
              <w:left w:val="nil"/>
              <w:bottom w:val="single" w:color="auto" w:sz="4" w:space="0"/>
              <w:right w:val="single" w:color="auto" w:sz="4" w:space="0"/>
            </w:tcBorders>
            <w:noWrap/>
            <w:vAlign w:val="center"/>
          </w:tcPr>
          <w:p w14:paraId="52ADDCA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≥40000</w:t>
            </w:r>
          </w:p>
        </w:tc>
        <w:tc>
          <w:tcPr>
            <w:tcW w:w="304" w:type="pct"/>
            <w:tcBorders>
              <w:top w:val="nil"/>
              <w:left w:val="nil"/>
              <w:bottom w:val="single" w:color="auto" w:sz="4" w:space="0"/>
              <w:right w:val="single" w:color="auto" w:sz="4" w:space="0"/>
            </w:tcBorders>
            <w:noWrap/>
            <w:vAlign w:val="center"/>
          </w:tcPr>
          <w:p w14:paraId="2FCC1B92">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2" w:type="pct"/>
            <w:tcBorders>
              <w:top w:val="nil"/>
              <w:left w:val="nil"/>
              <w:bottom w:val="single" w:color="auto" w:sz="4" w:space="0"/>
              <w:right w:val="single" w:color="auto" w:sz="4" w:space="0"/>
            </w:tcBorders>
            <w:noWrap/>
            <w:vAlign w:val="center"/>
          </w:tcPr>
          <w:p w14:paraId="4C40824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6CBBD43B">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w:t>
            </w:r>
          </w:p>
        </w:tc>
        <w:tc>
          <w:tcPr>
            <w:tcW w:w="311" w:type="pct"/>
            <w:tcBorders>
              <w:top w:val="nil"/>
              <w:left w:val="nil"/>
              <w:bottom w:val="single" w:color="auto" w:sz="4" w:space="0"/>
              <w:right w:val="single" w:color="auto" w:sz="4" w:space="0"/>
            </w:tcBorders>
            <w:noWrap/>
            <w:vAlign w:val="center"/>
          </w:tcPr>
          <w:p w14:paraId="253933C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31" w:type="pct"/>
            <w:tcBorders>
              <w:top w:val="nil"/>
              <w:left w:val="nil"/>
              <w:bottom w:val="single" w:color="auto" w:sz="4" w:space="0"/>
              <w:right w:val="single" w:color="auto" w:sz="4" w:space="0"/>
            </w:tcBorders>
            <w:noWrap/>
            <w:vAlign w:val="center"/>
          </w:tcPr>
          <w:p w14:paraId="4C41FF57">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5552445F">
            <w:pPr>
              <w:spacing w:line="240" w:lineRule="exact"/>
              <w:jc w:val="center"/>
              <w:rPr>
                <w:rFonts w:ascii="宋体" w:hAnsi="宋体" w:cs="宋体"/>
                <w:sz w:val="18"/>
                <w:szCs w:val="18"/>
              </w:rPr>
            </w:pPr>
            <w:r>
              <w:rPr>
                <w:rFonts w:hint="eastAsia" w:ascii="宋体" w:hAnsi="宋体" w:cs="宋体"/>
                <w:sz w:val="18"/>
                <w:szCs w:val="18"/>
              </w:rPr>
              <w:t>≥300</w:t>
            </w:r>
          </w:p>
        </w:tc>
        <w:tc>
          <w:tcPr>
            <w:tcW w:w="316" w:type="pct"/>
            <w:tcBorders>
              <w:top w:val="nil"/>
              <w:left w:val="nil"/>
              <w:bottom w:val="single" w:color="auto" w:sz="4" w:space="0"/>
              <w:right w:val="single" w:color="auto" w:sz="4" w:space="0"/>
            </w:tcBorders>
            <w:noWrap/>
            <w:vAlign w:val="center"/>
          </w:tcPr>
          <w:p w14:paraId="11C320C0">
            <w:pPr>
              <w:spacing w:line="240" w:lineRule="exact"/>
              <w:jc w:val="center"/>
              <w:rPr>
                <w:rFonts w:ascii="宋体" w:hAnsi="宋体" w:cs="宋体"/>
                <w:sz w:val="18"/>
                <w:szCs w:val="18"/>
              </w:rPr>
            </w:pPr>
            <w:r>
              <w:rPr>
                <w:rFonts w:hint="eastAsia" w:ascii="宋体" w:hAnsi="宋体" w:cs="宋体"/>
                <w:sz w:val="18"/>
                <w:szCs w:val="18"/>
              </w:rPr>
              <w:t>≥20</w:t>
            </w:r>
          </w:p>
        </w:tc>
        <w:tc>
          <w:tcPr>
            <w:tcW w:w="333" w:type="pct"/>
            <w:tcBorders>
              <w:top w:val="nil"/>
              <w:left w:val="nil"/>
              <w:bottom w:val="single" w:color="auto" w:sz="4" w:space="0"/>
              <w:right w:val="single" w:color="auto" w:sz="4" w:space="0"/>
            </w:tcBorders>
            <w:noWrap/>
            <w:vAlign w:val="center"/>
          </w:tcPr>
          <w:p w14:paraId="1D2E85F4">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3BB934CC">
            <w:pPr>
              <w:spacing w:line="240" w:lineRule="exact"/>
              <w:jc w:val="center"/>
              <w:rPr>
                <w:rFonts w:ascii="宋体" w:hAnsi="宋体" w:cs="宋体"/>
                <w:sz w:val="18"/>
                <w:szCs w:val="18"/>
              </w:rPr>
            </w:pPr>
            <w:r>
              <w:rPr>
                <w:rFonts w:hint="eastAsia" w:ascii="宋体" w:hAnsi="宋体" w:cs="宋体"/>
                <w:sz w:val="18"/>
                <w:szCs w:val="18"/>
              </w:rPr>
              <w:t>＜300</w:t>
            </w:r>
          </w:p>
        </w:tc>
        <w:tc>
          <w:tcPr>
            <w:tcW w:w="366" w:type="pct"/>
            <w:tcBorders>
              <w:top w:val="nil"/>
              <w:left w:val="nil"/>
              <w:bottom w:val="single" w:color="auto" w:sz="4" w:space="0"/>
              <w:right w:val="single" w:color="auto" w:sz="4" w:space="0"/>
            </w:tcBorders>
            <w:noWrap/>
            <w:vAlign w:val="center"/>
          </w:tcPr>
          <w:p w14:paraId="42C07780">
            <w:pPr>
              <w:spacing w:line="240" w:lineRule="exact"/>
              <w:jc w:val="center"/>
              <w:rPr>
                <w:rFonts w:ascii="宋体" w:hAnsi="宋体" w:cs="宋体"/>
                <w:sz w:val="18"/>
                <w:szCs w:val="18"/>
              </w:rPr>
            </w:pPr>
            <w:r>
              <w:rPr>
                <w:rFonts w:hint="eastAsia" w:ascii="宋体" w:hAnsi="宋体" w:cs="宋体"/>
                <w:sz w:val="18"/>
                <w:szCs w:val="18"/>
              </w:rPr>
              <w:t>＜20</w:t>
            </w:r>
          </w:p>
        </w:tc>
        <w:tc>
          <w:tcPr>
            <w:tcW w:w="420" w:type="pct"/>
            <w:tcBorders>
              <w:top w:val="nil"/>
              <w:left w:val="nil"/>
              <w:bottom w:val="single" w:color="auto" w:sz="4" w:space="0"/>
              <w:right w:val="single" w:color="auto" w:sz="4" w:space="0"/>
            </w:tcBorders>
            <w:noWrap/>
            <w:vAlign w:val="center"/>
          </w:tcPr>
          <w:p w14:paraId="23821024">
            <w:pPr>
              <w:spacing w:line="240" w:lineRule="exact"/>
              <w:jc w:val="center"/>
              <w:rPr>
                <w:rFonts w:ascii="宋体" w:hAnsi="宋体" w:cs="宋体"/>
                <w:sz w:val="18"/>
                <w:szCs w:val="18"/>
              </w:rPr>
            </w:pPr>
            <w:r>
              <w:rPr>
                <w:rFonts w:hint="eastAsia" w:ascii="宋体" w:hAnsi="宋体" w:cs="宋体"/>
                <w:sz w:val="18"/>
                <w:szCs w:val="18"/>
              </w:rPr>
              <w:t>　</w:t>
            </w:r>
          </w:p>
        </w:tc>
      </w:tr>
      <w:tr w14:paraId="4B89E1A7">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05EA943F">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3</w:t>
            </w:r>
          </w:p>
        </w:tc>
        <w:tc>
          <w:tcPr>
            <w:tcW w:w="646" w:type="pct"/>
            <w:tcBorders>
              <w:top w:val="nil"/>
              <w:left w:val="nil"/>
              <w:bottom w:val="single" w:color="auto" w:sz="4" w:space="0"/>
              <w:right w:val="single" w:color="auto" w:sz="4" w:space="0"/>
            </w:tcBorders>
            <w:vAlign w:val="center"/>
          </w:tcPr>
          <w:p w14:paraId="6F6E1074">
            <w:pPr>
              <w:spacing w:line="240" w:lineRule="exact"/>
              <w:ind w:left="-27" w:leftChars="-13" w:right="-65" w:rightChars="-31"/>
              <w:rPr>
                <w:rFonts w:ascii="宋体" w:hAnsi="宋体" w:cs="宋体"/>
                <w:b/>
                <w:sz w:val="18"/>
                <w:szCs w:val="18"/>
              </w:rPr>
            </w:pPr>
            <w:r>
              <w:rPr>
                <w:rFonts w:hint="eastAsia" w:ascii="宋体" w:hAnsi="宋体" w:cs="宋体"/>
                <w:b/>
                <w:sz w:val="18"/>
                <w:szCs w:val="18"/>
              </w:rPr>
              <w:t>建筑业</w:t>
            </w:r>
          </w:p>
        </w:tc>
        <w:tc>
          <w:tcPr>
            <w:tcW w:w="396" w:type="pct"/>
            <w:tcBorders>
              <w:top w:val="nil"/>
              <w:left w:val="nil"/>
              <w:bottom w:val="single" w:color="auto" w:sz="4" w:space="0"/>
              <w:right w:val="single" w:color="auto" w:sz="4" w:space="0"/>
            </w:tcBorders>
            <w:noWrap/>
            <w:vAlign w:val="center"/>
          </w:tcPr>
          <w:p w14:paraId="6CB66F52">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≥80000</w:t>
            </w:r>
          </w:p>
        </w:tc>
        <w:tc>
          <w:tcPr>
            <w:tcW w:w="304" w:type="pct"/>
            <w:tcBorders>
              <w:top w:val="nil"/>
              <w:left w:val="nil"/>
              <w:bottom w:val="single" w:color="auto" w:sz="4" w:space="0"/>
              <w:right w:val="single" w:color="auto" w:sz="4" w:space="0"/>
            </w:tcBorders>
            <w:noWrap/>
            <w:vAlign w:val="center"/>
          </w:tcPr>
          <w:p w14:paraId="70C67210">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12" w:type="pct"/>
            <w:tcBorders>
              <w:top w:val="nil"/>
              <w:left w:val="nil"/>
              <w:bottom w:val="single" w:color="auto" w:sz="4" w:space="0"/>
              <w:right w:val="single" w:color="auto" w:sz="4" w:space="0"/>
            </w:tcBorders>
            <w:noWrap/>
            <w:vAlign w:val="center"/>
          </w:tcPr>
          <w:p w14:paraId="4967EEC5">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≥80000</w:t>
            </w:r>
          </w:p>
        </w:tc>
        <w:tc>
          <w:tcPr>
            <w:tcW w:w="366" w:type="pct"/>
            <w:tcBorders>
              <w:top w:val="nil"/>
              <w:left w:val="nil"/>
              <w:bottom w:val="single" w:color="auto" w:sz="4" w:space="0"/>
              <w:right w:val="single" w:color="auto" w:sz="4" w:space="0"/>
            </w:tcBorders>
            <w:noWrap/>
            <w:vAlign w:val="center"/>
          </w:tcPr>
          <w:p w14:paraId="232E8A54">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≥5000</w:t>
            </w:r>
          </w:p>
        </w:tc>
        <w:tc>
          <w:tcPr>
            <w:tcW w:w="311" w:type="pct"/>
            <w:tcBorders>
              <w:top w:val="nil"/>
              <w:left w:val="nil"/>
              <w:bottom w:val="single" w:color="auto" w:sz="4" w:space="0"/>
              <w:right w:val="single" w:color="auto" w:sz="4" w:space="0"/>
            </w:tcBorders>
            <w:noWrap/>
            <w:vAlign w:val="center"/>
          </w:tcPr>
          <w:p w14:paraId="073638C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31" w:type="pct"/>
            <w:tcBorders>
              <w:top w:val="nil"/>
              <w:left w:val="nil"/>
              <w:bottom w:val="single" w:color="auto" w:sz="4" w:space="0"/>
              <w:right w:val="single" w:color="auto" w:sz="4" w:space="0"/>
            </w:tcBorders>
            <w:noWrap/>
            <w:vAlign w:val="center"/>
          </w:tcPr>
          <w:p w14:paraId="2A03CEBE">
            <w:pPr>
              <w:spacing w:line="240" w:lineRule="exact"/>
              <w:jc w:val="center"/>
              <w:rPr>
                <w:rFonts w:ascii="宋体" w:hAnsi="宋体" w:cs="宋体"/>
                <w:sz w:val="18"/>
                <w:szCs w:val="18"/>
              </w:rPr>
            </w:pPr>
            <w:r>
              <w:rPr>
                <w:rFonts w:hint="eastAsia" w:ascii="宋体" w:hAnsi="宋体" w:cs="宋体"/>
                <w:sz w:val="18"/>
                <w:szCs w:val="18"/>
              </w:rPr>
              <w:t>≥5000</w:t>
            </w:r>
          </w:p>
        </w:tc>
        <w:tc>
          <w:tcPr>
            <w:tcW w:w="365" w:type="pct"/>
            <w:tcBorders>
              <w:top w:val="nil"/>
              <w:left w:val="nil"/>
              <w:bottom w:val="single" w:color="auto" w:sz="4" w:space="0"/>
              <w:right w:val="single" w:color="auto" w:sz="4" w:space="0"/>
            </w:tcBorders>
            <w:noWrap/>
            <w:vAlign w:val="center"/>
          </w:tcPr>
          <w:p w14:paraId="5ACEB6E8">
            <w:pPr>
              <w:spacing w:line="240" w:lineRule="exact"/>
              <w:jc w:val="center"/>
              <w:rPr>
                <w:rFonts w:ascii="宋体" w:hAnsi="宋体" w:cs="宋体"/>
                <w:sz w:val="18"/>
                <w:szCs w:val="18"/>
              </w:rPr>
            </w:pPr>
            <w:r>
              <w:rPr>
                <w:rFonts w:hint="eastAsia" w:ascii="宋体" w:hAnsi="宋体" w:cs="宋体"/>
                <w:sz w:val="18"/>
                <w:szCs w:val="18"/>
              </w:rPr>
              <w:t>≥300</w:t>
            </w:r>
          </w:p>
        </w:tc>
        <w:tc>
          <w:tcPr>
            <w:tcW w:w="316" w:type="pct"/>
            <w:tcBorders>
              <w:top w:val="nil"/>
              <w:left w:val="nil"/>
              <w:bottom w:val="single" w:color="auto" w:sz="4" w:space="0"/>
              <w:right w:val="single" w:color="auto" w:sz="4" w:space="0"/>
            </w:tcBorders>
            <w:noWrap/>
            <w:vAlign w:val="center"/>
          </w:tcPr>
          <w:p w14:paraId="15270705">
            <w:pPr>
              <w:spacing w:line="240" w:lineRule="exact"/>
              <w:jc w:val="center"/>
              <w:rPr>
                <w:rFonts w:ascii="宋体" w:hAnsi="宋体" w:cs="宋体"/>
                <w:sz w:val="18"/>
                <w:szCs w:val="18"/>
              </w:rPr>
            </w:pPr>
            <w:r>
              <w:rPr>
                <w:rFonts w:hint="eastAsia" w:ascii="宋体" w:hAnsi="宋体" w:cs="宋体"/>
                <w:sz w:val="18"/>
                <w:szCs w:val="18"/>
              </w:rPr>
              <w:t>　</w:t>
            </w:r>
          </w:p>
        </w:tc>
        <w:tc>
          <w:tcPr>
            <w:tcW w:w="333" w:type="pct"/>
            <w:tcBorders>
              <w:top w:val="nil"/>
              <w:left w:val="nil"/>
              <w:bottom w:val="single" w:color="auto" w:sz="4" w:space="0"/>
              <w:right w:val="single" w:color="auto" w:sz="4" w:space="0"/>
            </w:tcBorders>
            <w:noWrap/>
            <w:vAlign w:val="center"/>
          </w:tcPr>
          <w:p w14:paraId="7FD5B166">
            <w:pPr>
              <w:spacing w:line="240" w:lineRule="exact"/>
              <w:jc w:val="center"/>
              <w:rPr>
                <w:rFonts w:ascii="宋体" w:hAnsi="宋体" w:cs="宋体"/>
                <w:sz w:val="18"/>
                <w:szCs w:val="18"/>
              </w:rPr>
            </w:pPr>
            <w:r>
              <w:rPr>
                <w:rFonts w:hint="eastAsia" w:ascii="宋体" w:hAnsi="宋体" w:cs="宋体"/>
                <w:sz w:val="18"/>
                <w:szCs w:val="18"/>
              </w:rPr>
              <w:t>≥300</w:t>
            </w:r>
          </w:p>
        </w:tc>
        <w:tc>
          <w:tcPr>
            <w:tcW w:w="365" w:type="pct"/>
            <w:tcBorders>
              <w:top w:val="nil"/>
              <w:left w:val="nil"/>
              <w:bottom w:val="single" w:color="auto" w:sz="4" w:space="0"/>
              <w:right w:val="single" w:color="auto" w:sz="4" w:space="0"/>
            </w:tcBorders>
            <w:noWrap/>
            <w:vAlign w:val="center"/>
          </w:tcPr>
          <w:p w14:paraId="0C0ED9F4">
            <w:pPr>
              <w:spacing w:line="240" w:lineRule="exact"/>
              <w:jc w:val="center"/>
              <w:rPr>
                <w:rFonts w:ascii="宋体" w:hAnsi="宋体" w:cs="宋体"/>
                <w:sz w:val="18"/>
                <w:szCs w:val="18"/>
              </w:rPr>
            </w:pPr>
            <w:r>
              <w:rPr>
                <w:rFonts w:hint="eastAsia" w:ascii="宋体" w:hAnsi="宋体" w:cs="宋体"/>
                <w:sz w:val="18"/>
                <w:szCs w:val="18"/>
              </w:rPr>
              <w:t>＜300</w:t>
            </w:r>
          </w:p>
        </w:tc>
        <w:tc>
          <w:tcPr>
            <w:tcW w:w="366" w:type="pct"/>
            <w:tcBorders>
              <w:top w:val="nil"/>
              <w:left w:val="nil"/>
              <w:bottom w:val="single" w:color="auto" w:sz="4" w:space="0"/>
              <w:right w:val="single" w:color="auto" w:sz="4" w:space="0"/>
            </w:tcBorders>
            <w:noWrap/>
            <w:vAlign w:val="center"/>
          </w:tcPr>
          <w:p w14:paraId="0776E5A6">
            <w:pPr>
              <w:spacing w:line="240" w:lineRule="exact"/>
              <w:jc w:val="center"/>
              <w:rPr>
                <w:rFonts w:ascii="宋体" w:hAnsi="宋体" w:cs="宋体"/>
                <w:sz w:val="18"/>
                <w:szCs w:val="18"/>
              </w:rPr>
            </w:pPr>
            <w:r>
              <w:rPr>
                <w:rFonts w:hint="eastAsia" w:ascii="宋体" w:hAnsi="宋体" w:cs="宋体"/>
                <w:sz w:val="18"/>
                <w:szCs w:val="18"/>
              </w:rPr>
              <w:t>　</w:t>
            </w:r>
          </w:p>
        </w:tc>
        <w:tc>
          <w:tcPr>
            <w:tcW w:w="420" w:type="pct"/>
            <w:tcBorders>
              <w:top w:val="nil"/>
              <w:left w:val="nil"/>
              <w:bottom w:val="single" w:color="auto" w:sz="4" w:space="0"/>
              <w:right w:val="single" w:color="auto" w:sz="4" w:space="0"/>
            </w:tcBorders>
            <w:noWrap/>
            <w:vAlign w:val="center"/>
          </w:tcPr>
          <w:p w14:paraId="7A0D2467">
            <w:pPr>
              <w:spacing w:line="240" w:lineRule="exact"/>
              <w:jc w:val="center"/>
              <w:rPr>
                <w:rFonts w:ascii="宋体" w:hAnsi="宋体" w:cs="宋体"/>
                <w:sz w:val="18"/>
                <w:szCs w:val="18"/>
              </w:rPr>
            </w:pPr>
            <w:r>
              <w:rPr>
                <w:rFonts w:hint="eastAsia" w:ascii="宋体" w:hAnsi="宋体" w:cs="宋体"/>
                <w:sz w:val="18"/>
                <w:szCs w:val="18"/>
              </w:rPr>
              <w:t>＜300</w:t>
            </w:r>
          </w:p>
        </w:tc>
      </w:tr>
      <w:tr w14:paraId="069B0F0C">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5AD8D22E">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4</w:t>
            </w:r>
          </w:p>
        </w:tc>
        <w:tc>
          <w:tcPr>
            <w:tcW w:w="646" w:type="pct"/>
            <w:tcBorders>
              <w:top w:val="nil"/>
              <w:left w:val="nil"/>
              <w:bottom w:val="single" w:color="auto" w:sz="4" w:space="0"/>
              <w:right w:val="single" w:color="auto" w:sz="4" w:space="0"/>
            </w:tcBorders>
            <w:vAlign w:val="center"/>
          </w:tcPr>
          <w:p w14:paraId="100F10F4">
            <w:pPr>
              <w:spacing w:line="240" w:lineRule="exact"/>
              <w:ind w:left="-27" w:leftChars="-13" w:right="-65" w:rightChars="-31"/>
              <w:rPr>
                <w:rFonts w:ascii="宋体" w:hAnsi="宋体" w:cs="宋体"/>
                <w:b/>
                <w:sz w:val="18"/>
                <w:szCs w:val="18"/>
              </w:rPr>
            </w:pPr>
            <w:r>
              <w:rPr>
                <w:rFonts w:hint="eastAsia" w:ascii="宋体" w:hAnsi="宋体" w:cs="宋体"/>
                <w:b/>
                <w:sz w:val="18"/>
                <w:szCs w:val="18"/>
              </w:rPr>
              <w:t>批发业</w:t>
            </w:r>
          </w:p>
        </w:tc>
        <w:tc>
          <w:tcPr>
            <w:tcW w:w="396" w:type="pct"/>
            <w:tcBorders>
              <w:top w:val="nil"/>
              <w:left w:val="nil"/>
              <w:bottom w:val="single" w:color="auto" w:sz="4" w:space="0"/>
              <w:right w:val="single" w:color="auto" w:sz="4" w:space="0"/>
            </w:tcBorders>
            <w:noWrap/>
            <w:vAlign w:val="center"/>
          </w:tcPr>
          <w:p w14:paraId="2647F19F">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≥40000</w:t>
            </w:r>
          </w:p>
        </w:tc>
        <w:tc>
          <w:tcPr>
            <w:tcW w:w="304" w:type="pct"/>
            <w:tcBorders>
              <w:top w:val="nil"/>
              <w:left w:val="nil"/>
              <w:bottom w:val="single" w:color="auto" w:sz="4" w:space="0"/>
              <w:right w:val="single" w:color="auto" w:sz="4" w:space="0"/>
            </w:tcBorders>
            <w:noWrap/>
            <w:vAlign w:val="center"/>
          </w:tcPr>
          <w:p w14:paraId="51EF9B53">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w:t>
            </w:r>
          </w:p>
        </w:tc>
        <w:tc>
          <w:tcPr>
            <w:tcW w:w="312" w:type="pct"/>
            <w:tcBorders>
              <w:top w:val="nil"/>
              <w:left w:val="nil"/>
              <w:bottom w:val="single" w:color="auto" w:sz="4" w:space="0"/>
              <w:right w:val="single" w:color="auto" w:sz="4" w:space="0"/>
            </w:tcBorders>
            <w:noWrap/>
            <w:vAlign w:val="center"/>
          </w:tcPr>
          <w:p w14:paraId="213F5EFE">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0107FFDB">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≥5000</w:t>
            </w:r>
          </w:p>
        </w:tc>
        <w:tc>
          <w:tcPr>
            <w:tcW w:w="311" w:type="pct"/>
            <w:tcBorders>
              <w:top w:val="nil"/>
              <w:left w:val="nil"/>
              <w:bottom w:val="single" w:color="auto" w:sz="4" w:space="0"/>
              <w:right w:val="single" w:color="auto" w:sz="4" w:space="0"/>
            </w:tcBorders>
            <w:noWrap/>
            <w:vAlign w:val="center"/>
          </w:tcPr>
          <w:p w14:paraId="69EB29E8">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w:t>
            </w:r>
          </w:p>
        </w:tc>
        <w:tc>
          <w:tcPr>
            <w:tcW w:w="331" w:type="pct"/>
            <w:tcBorders>
              <w:top w:val="nil"/>
              <w:left w:val="nil"/>
              <w:bottom w:val="single" w:color="auto" w:sz="4" w:space="0"/>
              <w:right w:val="single" w:color="auto" w:sz="4" w:space="0"/>
            </w:tcBorders>
            <w:noWrap/>
            <w:vAlign w:val="center"/>
          </w:tcPr>
          <w:p w14:paraId="2B9075BA">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2DCBB7FA">
            <w:pPr>
              <w:spacing w:line="240" w:lineRule="exact"/>
              <w:jc w:val="center"/>
              <w:rPr>
                <w:rFonts w:ascii="宋体" w:hAnsi="宋体" w:cs="宋体"/>
                <w:sz w:val="18"/>
                <w:szCs w:val="18"/>
              </w:rPr>
            </w:pPr>
            <w:r>
              <w:rPr>
                <w:rFonts w:hint="eastAsia" w:ascii="宋体" w:hAnsi="宋体" w:cs="宋体"/>
                <w:sz w:val="18"/>
                <w:szCs w:val="18"/>
              </w:rPr>
              <w:t>≥1000</w:t>
            </w:r>
          </w:p>
        </w:tc>
        <w:tc>
          <w:tcPr>
            <w:tcW w:w="316" w:type="pct"/>
            <w:tcBorders>
              <w:top w:val="nil"/>
              <w:left w:val="nil"/>
              <w:bottom w:val="single" w:color="auto" w:sz="4" w:space="0"/>
              <w:right w:val="single" w:color="auto" w:sz="4" w:space="0"/>
            </w:tcBorders>
            <w:noWrap/>
            <w:vAlign w:val="center"/>
          </w:tcPr>
          <w:p w14:paraId="021D199D">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33162404">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159D8ABA">
            <w:pPr>
              <w:spacing w:line="240" w:lineRule="exact"/>
              <w:jc w:val="center"/>
              <w:rPr>
                <w:rFonts w:ascii="宋体" w:hAnsi="宋体" w:cs="宋体"/>
                <w:sz w:val="18"/>
                <w:szCs w:val="18"/>
              </w:rPr>
            </w:pPr>
            <w:r>
              <w:rPr>
                <w:rFonts w:hint="eastAsia" w:ascii="宋体" w:hAnsi="宋体" w:cs="宋体"/>
                <w:sz w:val="18"/>
                <w:szCs w:val="18"/>
              </w:rPr>
              <w:t>＜1000</w:t>
            </w:r>
          </w:p>
        </w:tc>
        <w:tc>
          <w:tcPr>
            <w:tcW w:w="366" w:type="pct"/>
            <w:tcBorders>
              <w:top w:val="nil"/>
              <w:left w:val="nil"/>
              <w:bottom w:val="single" w:color="auto" w:sz="4" w:space="0"/>
              <w:right w:val="single" w:color="auto" w:sz="4" w:space="0"/>
            </w:tcBorders>
            <w:noWrap/>
            <w:vAlign w:val="center"/>
          </w:tcPr>
          <w:p w14:paraId="5EDEF273">
            <w:pPr>
              <w:spacing w:line="240" w:lineRule="exact"/>
              <w:jc w:val="center"/>
              <w:rPr>
                <w:rFonts w:ascii="宋体" w:hAnsi="宋体" w:cs="宋体"/>
                <w:sz w:val="18"/>
                <w:szCs w:val="18"/>
              </w:rPr>
            </w:pPr>
            <w:r>
              <w:rPr>
                <w:rFonts w:hint="eastAsia" w:ascii="宋体" w:hAnsi="宋体" w:cs="宋体"/>
                <w:sz w:val="18"/>
                <w:szCs w:val="18"/>
              </w:rPr>
              <w:t>＜5</w:t>
            </w:r>
          </w:p>
        </w:tc>
        <w:tc>
          <w:tcPr>
            <w:tcW w:w="420" w:type="pct"/>
            <w:tcBorders>
              <w:top w:val="nil"/>
              <w:left w:val="nil"/>
              <w:bottom w:val="single" w:color="auto" w:sz="4" w:space="0"/>
              <w:right w:val="single" w:color="auto" w:sz="4" w:space="0"/>
            </w:tcBorders>
            <w:noWrap/>
            <w:vAlign w:val="center"/>
          </w:tcPr>
          <w:p w14:paraId="613AA161">
            <w:pPr>
              <w:spacing w:line="240" w:lineRule="exact"/>
              <w:jc w:val="center"/>
              <w:rPr>
                <w:rFonts w:ascii="宋体" w:hAnsi="宋体" w:cs="宋体"/>
                <w:sz w:val="18"/>
                <w:szCs w:val="18"/>
              </w:rPr>
            </w:pPr>
            <w:r>
              <w:rPr>
                <w:rFonts w:hint="eastAsia" w:ascii="宋体" w:hAnsi="宋体" w:cs="宋体"/>
                <w:sz w:val="18"/>
                <w:szCs w:val="18"/>
              </w:rPr>
              <w:t>　</w:t>
            </w:r>
          </w:p>
        </w:tc>
      </w:tr>
      <w:tr w14:paraId="718363A7">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32C7B011">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5</w:t>
            </w:r>
          </w:p>
        </w:tc>
        <w:tc>
          <w:tcPr>
            <w:tcW w:w="646" w:type="pct"/>
            <w:tcBorders>
              <w:top w:val="nil"/>
              <w:left w:val="nil"/>
              <w:bottom w:val="single" w:color="auto" w:sz="4" w:space="0"/>
              <w:right w:val="single" w:color="auto" w:sz="4" w:space="0"/>
            </w:tcBorders>
            <w:vAlign w:val="center"/>
          </w:tcPr>
          <w:p w14:paraId="01CB95C2">
            <w:pPr>
              <w:spacing w:line="240" w:lineRule="exact"/>
              <w:ind w:left="-27" w:leftChars="-13" w:right="-65" w:rightChars="-31"/>
              <w:rPr>
                <w:rFonts w:ascii="宋体" w:hAnsi="宋体" w:cs="宋体"/>
                <w:b/>
                <w:sz w:val="18"/>
                <w:szCs w:val="18"/>
              </w:rPr>
            </w:pPr>
            <w:r>
              <w:rPr>
                <w:rFonts w:hint="eastAsia" w:ascii="宋体" w:hAnsi="宋体" w:cs="宋体"/>
                <w:b/>
                <w:sz w:val="18"/>
                <w:szCs w:val="18"/>
              </w:rPr>
              <w:t>零售业</w:t>
            </w:r>
          </w:p>
        </w:tc>
        <w:tc>
          <w:tcPr>
            <w:tcW w:w="396" w:type="pct"/>
            <w:tcBorders>
              <w:top w:val="nil"/>
              <w:left w:val="nil"/>
              <w:bottom w:val="single" w:color="auto" w:sz="4" w:space="0"/>
              <w:right w:val="single" w:color="auto" w:sz="4" w:space="0"/>
            </w:tcBorders>
            <w:noWrap/>
            <w:vAlign w:val="center"/>
          </w:tcPr>
          <w:p w14:paraId="627A033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≥20000</w:t>
            </w:r>
          </w:p>
        </w:tc>
        <w:tc>
          <w:tcPr>
            <w:tcW w:w="304" w:type="pct"/>
            <w:tcBorders>
              <w:top w:val="nil"/>
              <w:left w:val="nil"/>
              <w:bottom w:val="single" w:color="auto" w:sz="4" w:space="0"/>
              <w:right w:val="single" w:color="auto" w:sz="4" w:space="0"/>
            </w:tcBorders>
            <w:noWrap/>
            <w:vAlign w:val="center"/>
          </w:tcPr>
          <w:p w14:paraId="4D652AE8">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12" w:type="pct"/>
            <w:tcBorders>
              <w:top w:val="nil"/>
              <w:left w:val="nil"/>
              <w:bottom w:val="single" w:color="auto" w:sz="4" w:space="0"/>
              <w:right w:val="single" w:color="auto" w:sz="4" w:space="0"/>
            </w:tcBorders>
            <w:noWrap/>
            <w:vAlign w:val="center"/>
          </w:tcPr>
          <w:p w14:paraId="3A22410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5C1B0F0C">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≥500</w:t>
            </w:r>
          </w:p>
        </w:tc>
        <w:tc>
          <w:tcPr>
            <w:tcW w:w="311" w:type="pct"/>
            <w:tcBorders>
              <w:top w:val="nil"/>
              <w:left w:val="nil"/>
              <w:bottom w:val="single" w:color="auto" w:sz="4" w:space="0"/>
              <w:right w:val="single" w:color="auto" w:sz="4" w:space="0"/>
            </w:tcBorders>
            <w:noWrap/>
            <w:vAlign w:val="center"/>
          </w:tcPr>
          <w:p w14:paraId="00FD49D5">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≥50</w:t>
            </w:r>
          </w:p>
        </w:tc>
        <w:tc>
          <w:tcPr>
            <w:tcW w:w="331" w:type="pct"/>
            <w:tcBorders>
              <w:top w:val="nil"/>
              <w:left w:val="nil"/>
              <w:bottom w:val="single" w:color="auto" w:sz="4" w:space="0"/>
              <w:right w:val="single" w:color="auto" w:sz="4" w:space="0"/>
            </w:tcBorders>
            <w:noWrap/>
            <w:vAlign w:val="center"/>
          </w:tcPr>
          <w:p w14:paraId="6812D40E">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518B968C">
            <w:pPr>
              <w:spacing w:line="240" w:lineRule="exact"/>
              <w:jc w:val="center"/>
              <w:rPr>
                <w:rFonts w:ascii="宋体" w:hAnsi="宋体" w:cs="宋体"/>
                <w:sz w:val="18"/>
                <w:szCs w:val="18"/>
              </w:rPr>
            </w:pPr>
            <w:r>
              <w:rPr>
                <w:rFonts w:hint="eastAsia" w:ascii="宋体" w:hAnsi="宋体" w:cs="宋体"/>
                <w:sz w:val="18"/>
                <w:szCs w:val="18"/>
              </w:rPr>
              <w:t>≥100</w:t>
            </w:r>
          </w:p>
        </w:tc>
        <w:tc>
          <w:tcPr>
            <w:tcW w:w="316" w:type="pct"/>
            <w:tcBorders>
              <w:top w:val="nil"/>
              <w:left w:val="nil"/>
              <w:bottom w:val="single" w:color="auto" w:sz="4" w:space="0"/>
              <w:right w:val="single" w:color="auto" w:sz="4" w:space="0"/>
            </w:tcBorders>
            <w:noWrap/>
            <w:vAlign w:val="center"/>
          </w:tcPr>
          <w:p w14:paraId="298D6978">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08E00EE3">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41154943">
            <w:pPr>
              <w:spacing w:line="240" w:lineRule="exact"/>
              <w:jc w:val="center"/>
              <w:rPr>
                <w:rFonts w:ascii="宋体" w:hAnsi="宋体" w:cs="宋体"/>
                <w:sz w:val="18"/>
                <w:szCs w:val="18"/>
              </w:rPr>
            </w:pPr>
            <w:r>
              <w:rPr>
                <w:rFonts w:hint="eastAsia" w:ascii="宋体" w:hAnsi="宋体" w:cs="宋体"/>
                <w:sz w:val="18"/>
                <w:szCs w:val="18"/>
              </w:rPr>
              <w:t>＜100</w:t>
            </w:r>
          </w:p>
        </w:tc>
        <w:tc>
          <w:tcPr>
            <w:tcW w:w="366" w:type="pct"/>
            <w:tcBorders>
              <w:top w:val="nil"/>
              <w:left w:val="nil"/>
              <w:bottom w:val="single" w:color="auto" w:sz="4" w:space="0"/>
              <w:right w:val="single" w:color="auto" w:sz="4" w:space="0"/>
            </w:tcBorders>
            <w:noWrap/>
            <w:vAlign w:val="center"/>
          </w:tcPr>
          <w:p w14:paraId="07D8ED94">
            <w:pPr>
              <w:spacing w:line="240" w:lineRule="exact"/>
              <w:jc w:val="center"/>
              <w:rPr>
                <w:rFonts w:ascii="宋体" w:hAnsi="宋体" w:cs="宋体"/>
                <w:sz w:val="18"/>
                <w:szCs w:val="18"/>
              </w:rPr>
            </w:pPr>
            <w:r>
              <w:rPr>
                <w:rFonts w:hint="eastAsia" w:ascii="宋体" w:hAnsi="宋体" w:cs="宋体"/>
                <w:sz w:val="18"/>
                <w:szCs w:val="18"/>
              </w:rPr>
              <w:t>＜10</w:t>
            </w:r>
          </w:p>
        </w:tc>
        <w:tc>
          <w:tcPr>
            <w:tcW w:w="420" w:type="pct"/>
            <w:tcBorders>
              <w:top w:val="nil"/>
              <w:left w:val="nil"/>
              <w:bottom w:val="single" w:color="auto" w:sz="4" w:space="0"/>
              <w:right w:val="single" w:color="auto" w:sz="4" w:space="0"/>
            </w:tcBorders>
            <w:noWrap/>
            <w:vAlign w:val="center"/>
          </w:tcPr>
          <w:p w14:paraId="6776B298">
            <w:pPr>
              <w:spacing w:line="240" w:lineRule="exact"/>
              <w:jc w:val="center"/>
              <w:rPr>
                <w:rFonts w:ascii="宋体" w:hAnsi="宋体" w:cs="宋体"/>
                <w:sz w:val="18"/>
                <w:szCs w:val="18"/>
              </w:rPr>
            </w:pPr>
            <w:r>
              <w:rPr>
                <w:rFonts w:hint="eastAsia" w:ascii="宋体" w:hAnsi="宋体" w:cs="宋体"/>
                <w:sz w:val="18"/>
                <w:szCs w:val="18"/>
              </w:rPr>
              <w:t>　</w:t>
            </w:r>
          </w:p>
        </w:tc>
      </w:tr>
      <w:tr w14:paraId="032B2FC5">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67CCEB1B">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6</w:t>
            </w:r>
          </w:p>
        </w:tc>
        <w:tc>
          <w:tcPr>
            <w:tcW w:w="646" w:type="pct"/>
            <w:tcBorders>
              <w:top w:val="nil"/>
              <w:left w:val="nil"/>
              <w:bottom w:val="single" w:color="auto" w:sz="4" w:space="0"/>
              <w:right w:val="single" w:color="auto" w:sz="4" w:space="0"/>
            </w:tcBorders>
            <w:vAlign w:val="center"/>
          </w:tcPr>
          <w:p w14:paraId="782266D8">
            <w:pPr>
              <w:spacing w:line="240" w:lineRule="exact"/>
              <w:ind w:left="-27" w:leftChars="-13" w:right="-65" w:rightChars="-31"/>
              <w:rPr>
                <w:rFonts w:ascii="宋体" w:hAnsi="宋体" w:cs="宋体"/>
                <w:b/>
                <w:sz w:val="18"/>
                <w:szCs w:val="18"/>
              </w:rPr>
            </w:pPr>
            <w:r>
              <w:rPr>
                <w:rFonts w:hint="eastAsia" w:ascii="宋体" w:hAnsi="宋体" w:cs="宋体"/>
                <w:b/>
                <w:sz w:val="18"/>
                <w:szCs w:val="18"/>
              </w:rPr>
              <w:t>交通运输业</w:t>
            </w:r>
          </w:p>
        </w:tc>
        <w:tc>
          <w:tcPr>
            <w:tcW w:w="396" w:type="pct"/>
            <w:tcBorders>
              <w:top w:val="nil"/>
              <w:left w:val="nil"/>
              <w:bottom w:val="single" w:color="auto" w:sz="4" w:space="0"/>
              <w:right w:val="single" w:color="auto" w:sz="4" w:space="0"/>
            </w:tcBorders>
            <w:noWrap/>
            <w:vAlign w:val="center"/>
          </w:tcPr>
          <w:p w14:paraId="2DAC01F2">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≥30000</w:t>
            </w:r>
          </w:p>
        </w:tc>
        <w:tc>
          <w:tcPr>
            <w:tcW w:w="304" w:type="pct"/>
            <w:tcBorders>
              <w:top w:val="nil"/>
              <w:left w:val="nil"/>
              <w:bottom w:val="single" w:color="auto" w:sz="4" w:space="0"/>
              <w:right w:val="single" w:color="auto" w:sz="4" w:space="0"/>
            </w:tcBorders>
            <w:noWrap/>
            <w:vAlign w:val="center"/>
          </w:tcPr>
          <w:p w14:paraId="2CB6B1F6">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2" w:type="pct"/>
            <w:tcBorders>
              <w:top w:val="nil"/>
              <w:left w:val="nil"/>
              <w:bottom w:val="single" w:color="auto" w:sz="4" w:space="0"/>
              <w:right w:val="single" w:color="auto" w:sz="4" w:space="0"/>
            </w:tcBorders>
            <w:noWrap/>
            <w:vAlign w:val="center"/>
          </w:tcPr>
          <w:p w14:paraId="22B9BD6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13D07A6A">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≥3000</w:t>
            </w:r>
          </w:p>
        </w:tc>
        <w:tc>
          <w:tcPr>
            <w:tcW w:w="311" w:type="pct"/>
            <w:tcBorders>
              <w:top w:val="nil"/>
              <w:left w:val="nil"/>
              <w:bottom w:val="single" w:color="auto" w:sz="4" w:space="0"/>
              <w:right w:val="single" w:color="auto" w:sz="4" w:space="0"/>
            </w:tcBorders>
            <w:noWrap/>
            <w:vAlign w:val="center"/>
          </w:tcPr>
          <w:p w14:paraId="70AB17D8">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31" w:type="pct"/>
            <w:tcBorders>
              <w:top w:val="nil"/>
              <w:left w:val="nil"/>
              <w:bottom w:val="single" w:color="auto" w:sz="4" w:space="0"/>
              <w:right w:val="single" w:color="auto" w:sz="4" w:space="0"/>
            </w:tcBorders>
            <w:noWrap/>
            <w:vAlign w:val="center"/>
          </w:tcPr>
          <w:p w14:paraId="078C9CEF">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2B53520F">
            <w:pPr>
              <w:spacing w:line="240" w:lineRule="exact"/>
              <w:jc w:val="center"/>
              <w:rPr>
                <w:rFonts w:ascii="宋体" w:hAnsi="宋体" w:cs="宋体"/>
                <w:sz w:val="18"/>
                <w:szCs w:val="18"/>
              </w:rPr>
            </w:pPr>
            <w:r>
              <w:rPr>
                <w:rFonts w:hint="eastAsia" w:ascii="宋体" w:hAnsi="宋体" w:cs="宋体"/>
                <w:sz w:val="18"/>
                <w:szCs w:val="18"/>
              </w:rPr>
              <w:t>≥200</w:t>
            </w:r>
          </w:p>
        </w:tc>
        <w:tc>
          <w:tcPr>
            <w:tcW w:w="316" w:type="pct"/>
            <w:tcBorders>
              <w:top w:val="nil"/>
              <w:left w:val="nil"/>
              <w:bottom w:val="single" w:color="auto" w:sz="4" w:space="0"/>
              <w:right w:val="single" w:color="auto" w:sz="4" w:space="0"/>
            </w:tcBorders>
            <w:noWrap/>
            <w:vAlign w:val="center"/>
          </w:tcPr>
          <w:p w14:paraId="32F3136C">
            <w:pPr>
              <w:spacing w:line="240" w:lineRule="exact"/>
              <w:jc w:val="center"/>
              <w:rPr>
                <w:rFonts w:ascii="宋体" w:hAnsi="宋体" w:cs="宋体"/>
                <w:sz w:val="18"/>
                <w:szCs w:val="18"/>
              </w:rPr>
            </w:pPr>
            <w:r>
              <w:rPr>
                <w:rFonts w:hint="eastAsia" w:ascii="宋体" w:hAnsi="宋体" w:cs="宋体"/>
                <w:sz w:val="18"/>
                <w:szCs w:val="18"/>
              </w:rPr>
              <w:t>≥20</w:t>
            </w:r>
          </w:p>
        </w:tc>
        <w:tc>
          <w:tcPr>
            <w:tcW w:w="333" w:type="pct"/>
            <w:tcBorders>
              <w:top w:val="nil"/>
              <w:left w:val="nil"/>
              <w:bottom w:val="single" w:color="auto" w:sz="4" w:space="0"/>
              <w:right w:val="single" w:color="auto" w:sz="4" w:space="0"/>
            </w:tcBorders>
            <w:noWrap/>
            <w:vAlign w:val="center"/>
          </w:tcPr>
          <w:p w14:paraId="306B1E39">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236C54EF">
            <w:pPr>
              <w:spacing w:line="240" w:lineRule="exact"/>
              <w:jc w:val="center"/>
              <w:rPr>
                <w:rFonts w:ascii="宋体" w:hAnsi="宋体" w:cs="宋体"/>
                <w:sz w:val="18"/>
                <w:szCs w:val="18"/>
              </w:rPr>
            </w:pPr>
            <w:r>
              <w:rPr>
                <w:rFonts w:hint="eastAsia" w:ascii="宋体" w:hAnsi="宋体" w:cs="宋体"/>
                <w:sz w:val="18"/>
                <w:szCs w:val="18"/>
              </w:rPr>
              <w:t>＜200</w:t>
            </w:r>
          </w:p>
        </w:tc>
        <w:tc>
          <w:tcPr>
            <w:tcW w:w="366" w:type="pct"/>
            <w:tcBorders>
              <w:top w:val="nil"/>
              <w:left w:val="nil"/>
              <w:bottom w:val="single" w:color="auto" w:sz="4" w:space="0"/>
              <w:right w:val="single" w:color="auto" w:sz="4" w:space="0"/>
            </w:tcBorders>
            <w:noWrap/>
            <w:vAlign w:val="center"/>
          </w:tcPr>
          <w:p w14:paraId="5161DCC1">
            <w:pPr>
              <w:spacing w:line="240" w:lineRule="exact"/>
              <w:jc w:val="center"/>
              <w:rPr>
                <w:rFonts w:ascii="宋体" w:hAnsi="宋体" w:cs="宋体"/>
                <w:sz w:val="18"/>
                <w:szCs w:val="18"/>
              </w:rPr>
            </w:pPr>
            <w:r>
              <w:rPr>
                <w:rFonts w:hint="eastAsia" w:ascii="宋体" w:hAnsi="宋体" w:cs="宋体"/>
                <w:sz w:val="18"/>
                <w:szCs w:val="18"/>
              </w:rPr>
              <w:t>＜20</w:t>
            </w:r>
          </w:p>
        </w:tc>
        <w:tc>
          <w:tcPr>
            <w:tcW w:w="420" w:type="pct"/>
            <w:tcBorders>
              <w:top w:val="nil"/>
              <w:left w:val="nil"/>
              <w:bottom w:val="single" w:color="auto" w:sz="4" w:space="0"/>
              <w:right w:val="single" w:color="auto" w:sz="4" w:space="0"/>
            </w:tcBorders>
            <w:noWrap/>
            <w:vAlign w:val="center"/>
          </w:tcPr>
          <w:p w14:paraId="61A4D3E0">
            <w:pPr>
              <w:spacing w:line="240" w:lineRule="exact"/>
              <w:jc w:val="center"/>
              <w:rPr>
                <w:rFonts w:ascii="宋体" w:hAnsi="宋体" w:cs="宋体"/>
                <w:sz w:val="18"/>
                <w:szCs w:val="18"/>
              </w:rPr>
            </w:pPr>
            <w:r>
              <w:rPr>
                <w:rFonts w:hint="eastAsia" w:ascii="宋体" w:hAnsi="宋体" w:cs="宋体"/>
                <w:sz w:val="18"/>
                <w:szCs w:val="18"/>
              </w:rPr>
              <w:t>　</w:t>
            </w:r>
          </w:p>
        </w:tc>
      </w:tr>
      <w:tr w14:paraId="7BA1297F">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4DF6BF4A">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7</w:t>
            </w:r>
          </w:p>
        </w:tc>
        <w:tc>
          <w:tcPr>
            <w:tcW w:w="646" w:type="pct"/>
            <w:tcBorders>
              <w:top w:val="nil"/>
              <w:left w:val="nil"/>
              <w:bottom w:val="single" w:color="auto" w:sz="4" w:space="0"/>
              <w:right w:val="single" w:color="auto" w:sz="4" w:space="0"/>
            </w:tcBorders>
            <w:vAlign w:val="center"/>
          </w:tcPr>
          <w:p w14:paraId="764FAF50">
            <w:pPr>
              <w:spacing w:line="240" w:lineRule="exact"/>
              <w:ind w:left="-27" w:leftChars="-13" w:right="-65" w:rightChars="-31"/>
              <w:rPr>
                <w:rFonts w:ascii="宋体" w:hAnsi="宋体" w:cs="宋体"/>
                <w:b/>
                <w:sz w:val="18"/>
                <w:szCs w:val="18"/>
              </w:rPr>
            </w:pPr>
            <w:r>
              <w:rPr>
                <w:rFonts w:hint="eastAsia" w:ascii="宋体" w:hAnsi="宋体" w:cs="宋体"/>
                <w:b/>
                <w:sz w:val="18"/>
                <w:szCs w:val="18"/>
              </w:rPr>
              <w:t>仓储业</w:t>
            </w:r>
          </w:p>
        </w:tc>
        <w:tc>
          <w:tcPr>
            <w:tcW w:w="396" w:type="pct"/>
            <w:tcBorders>
              <w:top w:val="nil"/>
              <w:left w:val="nil"/>
              <w:bottom w:val="single" w:color="auto" w:sz="4" w:space="0"/>
              <w:right w:val="single" w:color="auto" w:sz="4" w:space="0"/>
            </w:tcBorders>
            <w:noWrap/>
            <w:vAlign w:val="center"/>
          </w:tcPr>
          <w:p w14:paraId="3AF0A8C2">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≥30000</w:t>
            </w:r>
          </w:p>
        </w:tc>
        <w:tc>
          <w:tcPr>
            <w:tcW w:w="304" w:type="pct"/>
            <w:tcBorders>
              <w:top w:val="nil"/>
              <w:left w:val="nil"/>
              <w:bottom w:val="single" w:color="auto" w:sz="4" w:space="0"/>
              <w:right w:val="single" w:color="auto" w:sz="4" w:space="0"/>
            </w:tcBorders>
            <w:noWrap/>
            <w:vAlign w:val="center"/>
          </w:tcPr>
          <w:p w14:paraId="04A1F5F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w:t>
            </w:r>
          </w:p>
        </w:tc>
        <w:tc>
          <w:tcPr>
            <w:tcW w:w="312" w:type="pct"/>
            <w:tcBorders>
              <w:top w:val="nil"/>
              <w:left w:val="nil"/>
              <w:bottom w:val="single" w:color="auto" w:sz="4" w:space="0"/>
              <w:right w:val="single" w:color="auto" w:sz="4" w:space="0"/>
            </w:tcBorders>
            <w:noWrap/>
            <w:vAlign w:val="center"/>
          </w:tcPr>
          <w:p w14:paraId="3EFECA57">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6FC7CFC0">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1" w:type="pct"/>
            <w:tcBorders>
              <w:top w:val="nil"/>
              <w:left w:val="nil"/>
              <w:bottom w:val="single" w:color="auto" w:sz="4" w:space="0"/>
              <w:right w:val="single" w:color="auto" w:sz="4" w:space="0"/>
            </w:tcBorders>
            <w:noWrap/>
            <w:vAlign w:val="center"/>
          </w:tcPr>
          <w:p w14:paraId="5D1F2EF6">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w:t>
            </w:r>
          </w:p>
        </w:tc>
        <w:tc>
          <w:tcPr>
            <w:tcW w:w="331" w:type="pct"/>
            <w:tcBorders>
              <w:top w:val="nil"/>
              <w:left w:val="nil"/>
              <w:bottom w:val="single" w:color="auto" w:sz="4" w:space="0"/>
              <w:right w:val="single" w:color="auto" w:sz="4" w:space="0"/>
            </w:tcBorders>
            <w:noWrap/>
            <w:vAlign w:val="center"/>
          </w:tcPr>
          <w:p w14:paraId="196B0DAE">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166301F7">
            <w:pPr>
              <w:spacing w:line="240" w:lineRule="exact"/>
              <w:jc w:val="center"/>
              <w:rPr>
                <w:rFonts w:ascii="宋体" w:hAnsi="宋体" w:cs="宋体"/>
                <w:sz w:val="18"/>
                <w:szCs w:val="18"/>
              </w:rPr>
            </w:pPr>
            <w:r>
              <w:rPr>
                <w:rFonts w:hint="eastAsia" w:ascii="宋体" w:hAnsi="宋体" w:cs="宋体"/>
                <w:sz w:val="18"/>
                <w:szCs w:val="18"/>
              </w:rPr>
              <w:t>≥100</w:t>
            </w:r>
          </w:p>
        </w:tc>
        <w:tc>
          <w:tcPr>
            <w:tcW w:w="316" w:type="pct"/>
            <w:tcBorders>
              <w:top w:val="nil"/>
              <w:left w:val="nil"/>
              <w:bottom w:val="single" w:color="auto" w:sz="4" w:space="0"/>
              <w:right w:val="single" w:color="auto" w:sz="4" w:space="0"/>
            </w:tcBorders>
            <w:noWrap/>
            <w:vAlign w:val="center"/>
          </w:tcPr>
          <w:p w14:paraId="530E69BC">
            <w:pPr>
              <w:spacing w:line="240" w:lineRule="exact"/>
              <w:jc w:val="center"/>
              <w:rPr>
                <w:rFonts w:ascii="宋体" w:hAnsi="宋体" w:cs="宋体"/>
                <w:sz w:val="18"/>
                <w:szCs w:val="18"/>
              </w:rPr>
            </w:pPr>
            <w:r>
              <w:rPr>
                <w:rFonts w:hint="eastAsia" w:ascii="宋体" w:hAnsi="宋体" w:cs="宋体"/>
                <w:sz w:val="18"/>
                <w:szCs w:val="18"/>
              </w:rPr>
              <w:t>≥20</w:t>
            </w:r>
          </w:p>
        </w:tc>
        <w:tc>
          <w:tcPr>
            <w:tcW w:w="333" w:type="pct"/>
            <w:tcBorders>
              <w:top w:val="nil"/>
              <w:left w:val="nil"/>
              <w:bottom w:val="single" w:color="auto" w:sz="4" w:space="0"/>
              <w:right w:val="single" w:color="auto" w:sz="4" w:space="0"/>
            </w:tcBorders>
            <w:noWrap/>
            <w:vAlign w:val="center"/>
          </w:tcPr>
          <w:p w14:paraId="58F97CC8">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75B946B8">
            <w:pPr>
              <w:spacing w:line="240" w:lineRule="exact"/>
              <w:jc w:val="center"/>
              <w:rPr>
                <w:rFonts w:ascii="宋体" w:hAnsi="宋体" w:cs="宋体"/>
                <w:sz w:val="18"/>
                <w:szCs w:val="18"/>
              </w:rPr>
            </w:pPr>
            <w:r>
              <w:rPr>
                <w:rFonts w:hint="eastAsia" w:ascii="宋体" w:hAnsi="宋体" w:cs="宋体"/>
                <w:sz w:val="18"/>
                <w:szCs w:val="18"/>
              </w:rPr>
              <w:t>＜100</w:t>
            </w:r>
          </w:p>
        </w:tc>
        <w:tc>
          <w:tcPr>
            <w:tcW w:w="366" w:type="pct"/>
            <w:tcBorders>
              <w:top w:val="nil"/>
              <w:left w:val="nil"/>
              <w:bottom w:val="single" w:color="auto" w:sz="4" w:space="0"/>
              <w:right w:val="single" w:color="auto" w:sz="4" w:space="0"/>
            </w:tcBorders>
            <w:noWrap/>
            <w:vAlign w:val="center"/>
          </w:tcPr>
          <w:p w14:paraId="14DBAB0A">
            <w:pPr>
              <w:spacing w:line="240" w:lineRule="exact"/>
              <w:jc w:val="center"/>
              <w:rPr>
                <w:rFonts w:ascii="宋体" w:hAnsi="宋体" w:cs="宋体"/>
                <w:sz w:val="18"/>
                <w:szCs w:val="18"/>
              </w:rPr>
            </w:pPr>
            <w:r>
              <w:rPr>
                <w:rFonts w:hint="eastAsia" w:ascii="宋体" w:hAnsi="宋体" w:cs="宋体"/>
                <w:sz w:val="18"/>
                <w:szCs w:val="18"/>
              </w:rPr>
              <w:t>＜20</w:t>
            </w:r>
          </w:p>
        </w:tc>
        <w:tc>
          <w:tcPr>
            <w:tcW w:w="420" w:type="pct"/>
            <w:tcBorders>
              <w:top w:val="nil"/>
              <w:left w:val="nil"/>
              <w:bottom w:val="single" w:color="auto" w:sz="4" w:space="0"/>
              <w:right w:val="single" w:color="auto" w:sz="4" w:space="0"/>
            </w:tcBorders>
            <w:noWrap/>
            <w:vAlign w:val="center"/>
          </w:tcPr>
          <w:p w14:paraId="716F120C">
            <w:pPr>
              <w:spacing w:line="240" w:lineRule="exact"/>
              <w:jc w:val="center"/>
              <w:rPr>
                <w:rFonts w:ascii="宋体" w:hAnsi="宋体" w:cs="宋体"/>
                <w:sz w:val="18"/>
                <w:szCs w:val="18"/>
              </w:rPr>
            </w:pPr>
            <w:r>
              <w:rPr>
                <w:rFonts w:hint="eastAsia" w:ascii="宋体" w:hAnsi="宋体" w:cs="宋体"/>
                <w:sz w:val="18"/>
                <w:szCs w:val="18"/>
              </w:rPr>
              <w:t>　</w:t>
            </w:r>
          </w:p>
        </w:tc>
      </w:tr>
      <w:tr w14:paraId="6C0F08CF">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24581FCB">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8</w:t>
            </w:r>
          </w:p>
        </w:tc>
        <w:tc>
          <w:tcPr>
            <w:tcW w:w="646" w:type="pct"/>
            <w:tcBorders>
              <w:top w:val="nil"/>
              <w:left w:val="nil"/>
              <w:bottom w:val="single" w:color="auto" w:sz="4" w:space="0"/>
              <w:right w:val="single" w:color="auto" w:sz="4" w:space="0"/>
            </w:tcBorders>
            <w:vAlign w:val="center"/>
          </w:tcPr>
          <w:p w14:paraId="2EBE191E">
            <w:pPr>
              <w:spacing w:line="240" w:lineRule="exact"/>
              <w:ind w:left="-27" w:leftChars="-13" w:right="-65" w:rightChars="-31"/>
              <w:rPr>
                <w:rFonts w:ascii="宋体" w:hAnsi="宋体" w:cs="宋体"/>
                <w:b/>
                <w:sz w:val="18"/>
                <w:szCs w:val="18"/>
              </w:rPr>
            </w:pPr>
            <w:r>
              <w:rPr>
                <w:rFonts w:hint="eastAsia" w:ascii="宋体" w:hAnsi="宋体" w:cs="宋体"/>
                <w:b/>
                <w:sz w:val="18"/>
                <w:szCs w:val="18"/>
              </w:rPr>
              <w:t>邮政业</w:t>
            </w:r>
          </w:p>
        </w:tc>
        <w:tc>
          <w:tcPr>
            <w:tcW w:w="396" w:type="pct"/>
            <w:tcBorders>
              <w:top w:val="nil"/>
              <w:left w:val="nil"/>
              <w:bottom w:val="single" w:color="auto" w:sz="4" w:space="0"/>
              <w:right w:val="single" w:color="auto" w:sz="4" w:space="0"/>
            </w:tcBorders>
            <w:noWrap/>
            <w:vAlign w:val="center"/>
          </w:tcPr>
          <w:p w14:paraId="3C796371">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≥30000</w:t>
            </w:r>
          </w:p>
        </w:tc>
        <w:tc>
          <w:tcPr>
            <w:tcW w:w="304" w:type="pct"/>
            <w:tcBorders>
              <w:top w:val="nil"/>
              <w:left w:val="nil"/>
              <w:bottom w:val="single" w:color="auto" w:sz="4" w:space="0"/>
              <w:right w:val="single" w:color="auto" w:sz="4" w:space="0"/>
            </w:tcBorders>
            <w:noWrap/>
            <w:vAlign w:val="center"/>
          </w:tcPr>
          <w:p w14:paraId="01F68AC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2" w:type="pct"/>
            <w:tcBorders>
              <w:top w:val="nil"/>
              <w:left w:val="nil"/>
              <w:bottom w:val="single" w:color="auto" w:sz="4" w:space="0"/>
              <w:right w:val="single" w:color="auto" w:sz="4" w:space="0"/>
            </w:tcBorders>
            <w:noWrap/>
            <w:vAlign w:val="center"/>
          </w:tcPr>
          <w:p w14:paraId="7AD3B3F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4181EEEF">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w:t>
            </w:r>
          </w:p>
        </w:tc>
        <w:tc>
          <w:tcPr>
            <w:tcW w:w="311" w:type="pct"/>
            <w:tcBorders>
              <w:top w:val="nil"/>
              <w:left w:val="nil"/>
              <w:bottom w:val="single" w:color="auto" w:sz="4" w:space="0"/>
              <w:right w:val="single" w:color="auto" w:sz="4" w:space="0"/>
            </w:tcBorders>
            <w:noWrap/>
            <w:vAlign w:val="center"/>
          </w:tcPr>
          <w:p w14:paraId="70EE1CE6">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31" w:type="pct"/>
            <w:tcBorders>
              <w:top w:val="nil"/>
              <w:left w:val="nil"/>
              <w:bottom w:val="single" w:color="auto" w:sz="4" w:space="0"/>
              <w:right w:val="single" w:color="auto" w:sz="4" w:space="0"/>
            </w:tcBorders>
            <w:noWrap/>
            <w:vAlign w:val="center"/>
          </w:tcPr>
          <w:p w14:paraId="371AE440">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66F5639C">
            <w:pPr>
              <w:spacing w:line="240" w:lineRule="exact"/>
              <w:jc w:val="center"/>
              <w:rPr>
                <w:rFonts w:ascii="宋体" w:hAnsi="宋体" w:cs="宋体"/>
                <w:sz w:val="18"/>
                <w:szCs w:val="18"/>
              </w:rPr>
            </w:pPr>
            <w:r>
              <w:rPr>
                <w:rFonts w:hint="eastAsia" w:ascii="宋体" w:hAnsi="宋体" w:cs="宋体"/>
                <w:sz w:val="18"/>
                <w:szCs w:val="18"/>
              </w:rPr>
              <w:t>≥100</w:t>
            </w:r>
          </w:p>
        </w:tc>
        <w:tc>
          <w:tcPr>
            <w:tcW w:w="316" w:type="pct"/>
            <w:tcBorders>
              <w:top w:val="nil"/>
              <w:left w:val="nil"/>
              <w:bottom w:val="single" w:color="auto" w:sz="4" w:space="0"/>
              <w:right w:val="single" w:color="auto" w:sz="4" w:space="0"/>
            </w:tcBorders>
            <w:noWrap/>
            <w:vAlign w:val="center"/>
          </w:tcPr>
          <w:p w14:paraId="1B4D13E7">
            <w:pPr>
              <w:spacing w:line="240" w:lineRule="exact"/>
              <w:jc w:val="center"/>
              <w:rPr>
                <w:rFonts w:ascii="宋体" w:hAnsi="宋体" w:cs="宋体"/>
                <w:sz w:val="18"/>
                <w:szCs w:val="18"/>
              </w:rPr>
            </w:pPr>
            <w:r>
              <w:rPr>
                <w:rFonts w:hint="eastAsia" w:ascii="宋体" w:hAnsi="宋体" w:cs="宋体"/>
                <w:sz w:val="18"/>
                <w:szCs w:val="18"/>
              </w:rPr>
              <w:t>≥20</w:t>
            </w:r>
          </w:p>
        </w:tc>
        <w:tc>
          <w:tcPr>
            <w:tcW w:w="333" w:type="pct"/>
            <w:tcBorders>
              <w:top w:val="nil"/>
              <w:left w:val="nil"/>
              <w:bottom w:val="single" w:color="auto" w:sz="4" w:space="0"/>
              <w:right w:val="single" w:color="auto" w:sz="4" w:space="0"/>
            </w:tcBorders>
            <w:noWrap/>
            <w:vAlign w:val="center"/>
          </w:tcPr>
          <w:p w14:paraId="65C93179">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32D492CB">
            <w:pPr>
              <w:spacing w:line="240" w:lineRule="exact"/>
              <w:jc w:val="center"/>
              <w:rPr>
                <w:rFonts w:ascii="宋体" w:hAnsi="宋体" w:cs="宋体"/>
                <w:sz w:val="18"/>
                <w:szCs w:val="18"/>
              </w:rPr>
            </w:pPr>
            <w:r>
              <w:rPr>
                <w:rFonts w:hint="eastAsia" w:ascii="宋体" w:hAnsi="宋体" w:cs="宋体"/>
                <w:sz w:val="18"/>
                <w:szCs w:val="18"/>
              </w:rPr>
              <w:t>＜100</w:t>
            </w:r>
          </w:p>
        </w:tc>
        <w:tc>
          <w:tcPr>
            <w:tcW w:w="366" w:type="pct"/>
            <w:tcBorders>
              <w:top w:val="nil"/>
              <w:left w:val="nil"/>
              <w:bottom w:val="single" w:color="auto" w:sz="4" w:space="0"/>
              <w:right w:val="single" w:color="auto" w:sz="4" w:space="0"/>
            </w:tcBorders>
            <w:noWrap/>
            <w:vAlign w:val="center"/>
          </w:tcPr>
          <w:p w14:paraId="21301DB5">
            <w:pPr>
              <w:spacing w:line="240" w:lineRule="exact"/>
              <w:jc w:val="center"/>
              <w:rPr>
                <w:rFonts w:ascii="宋体" w:hAnsi="宋体" w:cs="宋体"/>
                <w:sz w:val="18"/>
                <w:szCs w:val="18"/>
              </w:rPr>
            </w:pPr>
            <w:r>
              <w:rPr>
                <w:rFonts w:hint="eastAsia" w:ascii="宋体" w:hAnsi="宋体" w:cs="宋体"/>
                <w:sz w:val="18"/>
                <w:szCs w:val="18"/>
              </w:rPr>
              <w:t>＜20</w:t>
            </w:r>
          </w:p>
        </w:tc>
        <w:tc>
          <w:tcPr>
            <w:tcW w:w="420" w:type="pct"/>
            <w:tcBorders>
              <w:top w:val="nil"/>
              <w:left w:val="nil"/>
              <w:bottom w:val="single" w:color="auto" w:sz="4" w:space="0"/>
              <w:right w:val="single" w:color="auto" w:sz="4" w:space="0"/>
            </w:tcBorders>
            <w:noWrap/>
            <w:vAlign w:val="center"/>
          </w:tcPr>
          <w:p w14:paraId="235833A0">
            <w:pPr>
              <w:spacing w:line="240" w:lineRule="exact"/>
              <w:jc w:val="center"/>
              <w:rPr>
                <w:rFonts w:ascii="宋体" w:hAnsi="宋体" w:cs="宋体"/>
                <w:sz w:val="18"/>
                <w:szCs w:val="18"/>
              </w:rPr>
            </w:pPr>
            <w:r>
              <w:rPr>
                <w:rFonts w:hint="eastAsia" w:ascii="宋体" w:hAnsi="宋体" w:cs="宋体"/>
                <w:sz w:val="18"/>
                <w:szCs w:val="18"/>
              </w:rPr>
              <w:t>　</w:t>
            </w:r>
          </w:p>
        </w:tc>
      </w:tr>
      <w:tr w14:paraId="77254E87">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7D76C7C6">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9</w:t>
            </w:r>
          </w:p>
        </w:tc>
        <w:tc>
          <w:tcPr>
            <w:tcW w:w="646" w:type="pct"/>
            <w:tcBorders>
              <w:top w:val="nil"/>
              <w:left w:val="nil"/>
              <w:bottom w:val="single" w:color="auto" w:sz="4" w:space="0"/>
              <w:right w:val="single" w:color="auto" w:sz="4" w:space="0"/>
            </w:tcBorders>
            <w:vAlign w:val="center"/>
          </w:tcPr>
          <w:p w14:paraId="41A22EF1">
            <w:pPr>
              <w:spacing w:line="240" w:lineRule="exact"/>
              <w:ind w:left="-27" w:leftChars="-13" w:right="-65" w:rightChars="-31"/>
              <w:rPr>
                <w:rFonts w:ascii="宋体" w:hAnsi="宋体" w:cs="宋体"/>
                <w:b/>
                <w:sz w:val="18"/>
                <w:szCs w:val="18"/>
              </w:rPr>
            </w:pPr>
            <w:r>
              <w:rPr>
                <w:rFonts w:hint="eastAsia" w:ascii="宋体" w:hAnsi="宋体" w:cs="宋体"/>
                <w:b/>
                <w:sz w:val="18"/>
                <w:szCs w:val="18"/>
              </w:rPr>
              <w:t>住宿业</w:t>
            </w:r>
          </w:p>
        </w:tc>
        <w:tc>
          <w:tcPr>
            <w:tcW w:w="396" w:type="pct"/>
            <w:tcBorders>
              <w:top w:val="nil"/>
              <w:left w:val="nil"/>
              <w:bottom w:val="single" w:color="auto" w:sz="4" w:space="0"/>
              <w:right w:val="single" w:color="auto" w:sz="4" w:space="0"/>
            </w:tcBorders>
            <w:noWrap/>
            <w:vAlign w:val="center"/>
          </w:tcPr>
          <w:p w14:paraId="6DF9C234">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≥10000</w:t>
            </w:r>
          </w:p>
        </w:tc>
        <w:tc>
          <w:tcPr>
            <w:tcW w:w="304" w:type="pct"/>
            <w:tcBorders>
              <w:top w:val="nil"/>
              <w:left w:val="nil"/>
              <w:bottom w:val="single" w:color="auto" w:sz="4" w:space="0"/>
              <w:right w:val="single" w:color="auto" w:sz="4" w:space="0"/>
            </w:tcBorders>
            <w:noWrap/>
            <w:vAlign w:val="center"/>
          </w:tcPr>
          <w:p w14:paraId="506AA445">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12" w:type="pct"/>
            <w:tcBorders>
              <w:top w:val="nil"/>
              <w:left w:val="nil"/>
              <w:bottom w:val="single" w:color="auto" w:sz="4" w:space="0"/>
              <w:right w:val="single" w:color="auto" w:sz="4" w:space="0"/>
            </w:tcBorders>
            <w:noWrap/>
            <w:vAlign w:val="center"/>
          </w:tcPr>
          <w:p w14:paraId="619F8B6C">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7AE58844">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w:t>
            </w:r>
          </w:p>
        </w:tc>
        <w:tc>
          <w:tcPr>
            <w:tcW w:w="311" w:type="pct"/>
            <w:tcBorders>
              <w:top w:val="nil"/>
              <w:left w:val="nil"/>
              <w:bottom w:val="single" w:color="auto" w:sz="4" w:space="0"/>
              <w:right w:val="single" w:color="auto" w:sz="4" w:space="0"/>
            </w:tcBorders>
            <w:noWrap/>
            <w:vAlign w:val="center"/>
          </w:tcPr>
          <w:p w14:paraId="1E0F2B47">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w:t>
            </w:r>
          </w:p>
        </w:tc>
        <w:tc>
          <w:tcPr>
            <w:tcW w:w="331" w:type="pct"/>
            <w:tcBorders>
              <w:top w:val="nil"/>
              <w:left w:val="nil"/>
              <w:bottom w:val="single" w:color="auto" w:sz="4" w:space="0"/>
              <w:right w:val="single" w:color="auto" w:sz="4" w:space="0"/>
            </w:tcBorders>
            <w:noWrap/>
            <w:vAlign w:val="center"/>
          </w:tcPr>
          <w:p w14:paraId="2D9F1AEE">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5DCF0CF8">
            <w:pPr>
              <w:spacing w:line="240" w:lineRule="exact"/>
              <w:jc w:val="center"/>
              <w:rPr>
                <w:rFonts w:ascii="宋体" w:hAnsi="宋体" w:cs="宋体"/>
                <w:sz w:val="18"/>
                <w:szCs w:val="18"/>
              </w:rPr>
            </w:pPr>
            <w:r>
              <w:rPr>
                <w:rFonts w:hint="eastAsia" w:ascii="宋体" w:hAnsi="宋体" w:cs="宋体"/>
                <w:sz w:val="18"/>
                <w:szCs w:val="18"/>
              </w:rPr>
              <w:t>≥100</w:t>
            </w:r>
          </w:p>
        </w:tc>
        <w:tc>
          <w:tcPr>
            <w:tcW w:w="316" w:type="pct"/>
            <w:tcBorders>
              <w:top w:val="nil"/>
              <w:left w:val="nil"/>
              <w:bottom w:val="single" w:color="auto" w:sz="4" w:space="0"/>
              <w:right w:val="single" w:color="auto" w:sz="4" w:space="0"/>
            </w:tcBorders>
            <w:noWrap/>
            <w:vAlign w:val="center"/>
          </w:tcPr>
          <w:p w14:paraId="1F76F837">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7C6ADCD0">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43F32724">
            <w:pPr>
              <w:spacing w:line="240" w:lineRule="exact"/>
              <w:jc w:val="center"/>
              <w:rPr>
                <w:rFonts w:ascii="宋体" w:hAnsi="宋体" w:cs="宋体"/>
                <w:sz w:val="18"/>
                <w:szCs w:val="18"/>
              </w:rPr>
            </w:pPr>
            <w:r>
              <w:rPr>
                <w:rFonts w:hint="eastAsia" w:ascii="宋体" w:hAnsi="宋体" w:cs="宋体"/>
                <w:sz w:val="18"/>
                <w:szCs w:val="18"/>
              </w:rPr>
              <w:t>＜100</w:t>
            </w:r>
          </w:p>
        </w:tc>
        <w:tc>
          <w:tcPr>
            <w:tcW w:w="366" w:type="pct"/>
            <w:tcBorders>
              <w:top w:val="nil"/>
              <w:left w:val="nil"/>
              <w:bottom w:val="single" w:color="auto" w:sz="4" w:space="0"/>
              <w:right w:val="single" w:color="auto" w:sz="4" w:space="0"/>
            </w:tcBorders>
            <w:noWrap/>
            <w:vAlign w:val="center"/>
          </w:tcPr>
          <w:p w14:paraId="76B0CE09">
            <w:pPr>
              <w:spacing w:line="240" w:lineRule="exact"/>
              <w:jc w:val="center"/>
              <w:rPr>
                <w:rFonts w:ascii="宋体" w:hAnsi="宋体" w:cs="宋体"/>
                <w:sz w:val="18"/>
                <w:szCs w:val="18"/>
              </w:rPr>
            </w:pPr>
            <w:r>
              <w:rPr>
                <w:rFonts w:hint="eastAsia" w:ascii="宋体" w:hAnsi="宋体" w:cs="宋体"/>
                <w:sz w:val="18"/>
                <w:szCs w:val="18"/>
              </w:rPr>
              <w:t>＜10</w:t>
            </w:r>
          </w:p>
        </w:tc>
        <w:tc>
          <w:tcPr>
            <w:tcW w:w="420" w:type="pct"/>
            <w:tcBorders>
              <w:top w:val="nil"/>
              <w:left w:val="nil"/>
              <w:bottom w:val="single" w:color="auto" w:sz="4" w:space="0"/>
              <w:right w:val="single" w:color="auto" w:sz="4" w:space="0"/>
            </w:tcBorders>
            <w:noWrap/>
            <w:vAlign w:val="center"/>
          </w:tcPr>
          <w:p w14:paraId="74180251">
            <w:pPr>
              <w:spacing w:line="240" w:lineRule="exact"/>
              <w:jc w:val="center"/>
              <w:rPr>
                <w:rFonts w:ascii="宋体" w:hAnsi="宋体" w:cs="宋体"/>
                <w:sz w:val="18"/>
                <w:szCs w:val="18"/>
              </w:rPr>
            </w:pPr>
            <w:r>
              <w:rPr>
                <w:rFonts w:hint="eastAsia" w:ascii="宋体" w:hAnsi="宋体" w:cs="宋体"/>
                <w:sz w:val="18"/>
                <w:szCs w:val="18"/>
              </w:rPr>
              <w:t>　</w:t>
            </w:r>
          </w:p>
        </w:tc>
      </w:tr>
      <w:tr w14:paraId="4E73343E">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7B6C36B1">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10</w:t>
            </w:r>
          </w:p>
        </w:tc>
        <w:tc>
          <w:tcPr>
            <w:tcW w:w="646" w:type="pct"/>
            <w:tcBorders>
              <w:top w:val="nil"/>
              <w:left w:val="nil"/>
              <w:bottom w:val="single" w:color="auto" w:sz="4" w:space="0"/>
              <w:right w:val="single" w:color="auto" w:sz="4" w:space="0"/>
            </w:tcBorders>
            <w:vAlign w:val="center"/>
          </w:tcPr>
          <w:p w14:paraId="03638524">
            <w:pPr>
              <w:spacing w:line="240" w:lineRule="exact"/>
              <w:ind w:left="-27" w:leftChars="-13" w:right="-65" w:rightChars="-31"/>
              <w:rPr>
                <w:rFonts w:ascii="宋体" w:hAnsi="宋体" w:cs="宋体"/>
                <w:b/>
                <w:sz w:val="18"/>
                <w:szCs w:val="18"/>
              </w:rPr>
            </w:pPr>
            <w:r>
              <w:rPr>
                <w:rFonts w:hint="eastAsia" w:ascii="宋体" w:hAnsi="宋体" w:cs="宋体"/>
                <w:b/>
                <w:sz w:val="18"/>
                <w:szCs w:val="18"/>
              </w:rPr>
              <w:t>餐饮业</w:t>
            </w:r>
          </w:p>
        </w:tc>
        <w:tc>
          <w:tcPr>
            <w:tcW w:w="396" w:type="pct"/>
            <w:tcBorders>
              <w:top w:val="nil"/>
              <w:left w:val="nil"/>
              <w:bottom w:val="single" w:color="auto" w:sz="4" w:space="0"/>
              <w:right w:val="single" w:color="auto" w:sz="4" w:space="0"/>
            </w:tcBorders>
            <w:noWrap/>
            <w:vAlign w:val="center"/>
          </w:tcPr>
          <w:p w14:paraId="7FB31DF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≥10000</w:t>
            </w:r>
          </w:p>
        </w:tc>
        <w:tc>
          <w:tcPr>
            <w:tcW w:w="304" w:type="pct"/>
            <w:tcBorders>
              <w:top w:val="nil"/>
              <w:left w:val="nil"/>
              <w:bottom w:val="single" w:color="auto" w:sz="4" w:space="0"/>
              <w:right w:val="single" w:color="auto" w:sz="4" w:space="0"/>
            </w:tcBorders>
            <w:noWrap/>
            <w:vAlign w:val="center"/>
          </w:tcPr>
          <w:p w14:paraId="0ADB2B2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12" w:type="pct"/>
            <w:tcBorders>
              <w:top w:val="nil"/>
              <w:left w:val="nil"/>
              <w:bottom w:val="single" w:color="auto" w:sz="4" w:space="0"/>
              <w:right w:val="single" w:color="auto" w:sz="4" w:space="0"/>
            </w:tcBorders>
            <w:noWrap/>
            <w:vAlign w:val="center"/>
          </w:tcPr>
          <w:p w14:paraId="725B548C">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12BEA28E">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w:t>
            </w:r>
          </w:p>
        </w:tc>
        <w:tc>
          <w:tcPr>
            <w:tcW w:w="311" w:type="pct"/>
            <w:tcBorders>
              <w:top w:val="nil"/>
              <w:left w:val="nil"/>
              <w:bottom w:val="single" w:color="auto" w:sz="4" w:space="0"/>
              <w:right w:val="single" w:color="auto" w:sz="4" w:space="0"/>
            </w:tcBorders>
            <w:noWrap/>
            <w:vAlign w:val="center"/>
          </w:tcPr>
          <w:p w14:paraId="5945C6C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w:t>
            </w:r>
          </w:p>
        </w:tc>
        <w:tc>
          <w:tcPr>
            <w:tcW w:w="331" w:type="pct"/>
            <w:tcBorders>
              <w:top w:val="nil"/>
              <w:left w:val="nil"/>
              <w:bottom w:val="single" w:color="auto" w:sz="4" w:space="0"/>
              <w:right w:val="single" w:color="auto" w:sz="4" w:space="0"/>
            </w:tcBorders>
            <w:noWrap/>
            <w:vAlign w:val="center"/>
          </w:tcPr>
          <w:p w14:paraId="5C4EC938">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1D04BC91">
            <w:pPr>
              <w:spacing w:line="240" w:lineRule="exact"/>
              <w:jc w:val="center"/>
              <w:rPr>
                <w:rFonts w:ascii="宋体" w:hAnsi="宋体" w:cs="宋体"/>
                <w:sz w:val="18"/>
                <w:szCs w:val="18"/>
              </w:rPr>
            </w:pPr>
            <w:r>
              <w:rPr>
                <w:rFonts w:hint="eastAsia" w:ascii="宋体" w:hAnsi="宋体" w:cs="宋体"/>
                <w:sz w:val="18"/>
                <w:szCs w:val="18"/>
              </w:rPr>
              <w:t>≥100</w:t>
            </w:r>
          </w:p>
        </w:tc>
        <w:tc>
          <w:tcPr>
            <w:tcW w:w="316" w:type="pct"/>
            <w:tcBorders>
              <w:top w:val="nil"/>
              <w:left w:val="nil"/>
              <w:bottom w:val="single" w:color="auto" w:sz="4" w:space="0"/>
              <w:right w:val="single" w:color="auto" w:sz="4" w:space="0"/>
            </w:tcBorders>
            <w:noWrap/>
            <w:vAlign w:val="center"/>
          </w:tcPr>
          <w:p w14:paraId="36894121">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24B72F54">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44BF2889">
            <w:pPr>
              <w:spacing w:line="240" w:lineRule="exact"/>
              <w:jc w:val="center"/>
              <w:rPr>
                <w:rFonts w:ascii="宋体" w:hAnsi="宋体" w:cs="宋体"/>
                <w:sz w:val="18"/>
                <w:szCs w:val="18"/>
              </w:rPr>
            </w:pPr>
            <w:r>
              <w:rPr>
                <w:rFonts w:hint="eastAsia" w:ascii="宋体" w:hAnsi="宋体" w:cs="宋体"/>
                <w:sz w:val="18"/>
                <w:szCs w:val="18"/>
              </w:rPr>
              <w:t>＜100</w:t>
            </w:r>
          </w:p>
        </w:tc>
        <w:tc>
          <w:tcPr>
            <w:tcW w:w="366" w:type="pct"/>
            <w:tcBorders>
              <w:top w:val="nil"/>
              <w:left w:val="nil"/>
              <w:bottom w:val="single" w:color="auto" w:sz="4" w:space="0"/>
              <w:right w:val="single" w:color="auto" w:sz="4" w:space="0"/>
            </w:tcBorders>
            <w:noWrap/>
            <w:vAlign w:val="center"/>
          </w:tcPr>
          <w:p w14:paraId="2B285237">
            <w:pPr>
              <w:spacing w:line="240" w:lineRule="exact"/>
              <w:jc w:val="center"/>
              <w:rPr>
                <w:rFonts w:ascii="宋体" w:hAnsi="宋体" w:cs="宋体"/>
                <w:sz w:val="18"/>
                <w:szCs w:val="18"/>
              </w:rPr>
            </w:pPr>
            <w:r>
              <w:rPr>
                <w:rFonts w:hint="eastAsia" w:ascii="宋体" w:hAnsi="宋体" w:cs="宋体"/>
                <w:sz w:val="18"/>
                <w:szCs w:val="18"/>
              </w:rPr>
              <w:t>＜10</w:t>
            </w:r>
          </w:p>
        </w:tc>
        <w:tc>
          <w:tcPr>
            <w:tcW w:w="420" w:type="pct"/>
            <w:tcBorders>
              <w:top w:val="nil"/>
              <w:left w:val="nil"/>
              <w:bottom w:val="single" w:color="auto" w:sz="4" w:space="0"/>
              <w:right w:val="single" w:color="auto" w:sz="4" w:space="0"/>
            </w:tcBorders>
            <w:noWrap/>
            <w:vAlign w:val="center"/>
          </w:tcPr>
          <w:p w14:paraId="66FD97AF">
            <w:pPr>
              <w:spacing w:line="240" w:lineRule="exact"/>
              <w:jc w:val="center"/>
              <w:rPr>
                <w:rFonts w:ascii="宋体" w:hAnsi="宋体" w:cs="宋体"/>
                <w:sz w:val="18"/>
                <w:szCs w:val="18"/>
              </w:rPr>
            </w:pPr>
            <w:r>
              <w:rPr>
                <w:rFonts w:hint="eastAsia" w:ascii="宋体" w:hAnsi="宋体" w:cs="宋体"/>
                <w:sz w:val="18"/>
                <w:szCs w:val="18"/>
              </w:rPr>
              <w:t>　</w:t>
            </w:r>
          </w:p>
        </w:tc>
      </w:tr>
      <w:tr w14:paraId="105B2351">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6433A9A8">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11</w:t>
            </w:r>
          </w:p>
        </w:tc>
        <w:tc>
          <w:tcPr>
            <w:tcW w:w="646" w:type="pct"/>
            <w:tcBorders>
              <w:top w:val="nil"/>
              <w:left w:val="nil"/>
              <w:bottom w:val="single" w:color="auto" w:sz="4" w:space="0"/>
              <w:right w:val="single" w:color="auto" w:sz="4" w:space="0"/>
            </w:tcBorders>
            <w:vAlign w:val="center"/>
          </w:tcPr>
          <w:p w14:paraId="49E6A323">
            <w:pPr>
              <w:spacing w:line="240" w:lineRule="exact"/>
              <w:ind w:left="-27" w:leftChars="-13" w:right="-65" w:rightChars="-31"/>
              <w:rPr>
                <w:rFonts w:ascii="宋体" w:hAnsi="宋体" w:cs="宋体"/>
                <w:b/>
                <w:sz w:val="18"/>
                <w:szCs w:val="18"/>
              </w:rPr>
            </w:pPr>
            <w:r>
              <w:rPr>
                <w:rFonts w:hint="eastAsia" w:ascii="宋体" w:hAnsi="宋体" w:cs="宋体"/>
                <w:b/>
                <w:sz w:val="18"/>
                <w:szCs w:val="18"/>
              </w:rPr>
              <w:t>信息传输业</w:t>
            </w:r>
          </w:p>
        </w:tc>
        <w:tc>
          <w:tcPr>
            <w:tcW w:w="396" w:type="pct"/>
            <w:tcBorders>
              <w:top w:val="nil"/>
              <w:left w:val="nil"/>
              <w:bottom w:val="single" w:color="auto" w:sz="4" w:space="0"/>
              <w:right w:val="single" w:color="auto" w:sz="4" w:space="0"/>
            </w:tcBorders>
            <w:noWrap/>
            <w:vAlign w:val="center"/>
          </w:tcPr>
          <w:p w14:paraId="12CF345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≥100000</w:t>
            </w:r>
          </w:p>
        </w:tc>
        <w:tc>
          <w:tcPr>
            <w:tcW w:w="304" w:type="pct"/>
            <w:tcBorders>
              <w:top w:val="nil"/>
              <w:left w:val="nil"/>
              <w:bottom w:val="single" w:color="auto" w:sz="4" w:space="0"/>
              <w:right w:val="single" w:color="auto" w:sz="4" w:space="0"/>
            </w:tcBorders>
            <w:noWrap/>
            <w:vAlign w:val="center"/>
          </w:tcPr>
          <w:p w14:paraId="18986760">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w:t>
            </w:r>
          </w:p>
        </w:tc>
        <w:tc>
          <w:tcPr>
            <w:tcW w:w="312" w:type="pct"/>
            <w:tcBorders>
              <w:top w:val="nil"/>
              <w:left w:val="nil"/>
              <w:bottom w:val="single" w:color="auto" w:sz="4" w:space="0"/>
              <w:right w:val="single" w:color="auto" w:sz="4" w:space="0"/>
            </w:tcBorders>
            <w:noWrap/>
            <w:vAlign w:val="center"/>
          </w:tcPr>
          <w:p w14:paraId="2BD439F8">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2FDFDD05">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1" w:type="pct"/>
            <w:tcBorders>
              <w:top w:val="nil"/>
              <w:left w:val="nil"/>
              <w:bottom w:val="single" w:color="auto" w:sz="4" w:space="0"/>
              <w:right w:val="single" w:color="auto" w:sz="4" w:space="0"/>
            </w:tcBorders>
            <w:noWrap/>
            <w:vAlign w:val="center"/>
          </w:tcPr>
          <w:p w14:paraId="3AAC0BB6">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w:t>
            </w:r>
          </w:p>
        </w:tc>
        <w:tc>
          <w:tcPr>
            <w:tcW w:w="331" w:type="pct"/>
            <w:tcBorders>
              <w:top w:val="nil"/>
              <w:left w:val="nil"/>
              <w:bottom w:val="single" w:color="auto" w:sz="4" w:space="0"/>
              <w:right w:val="single" w:color="auto" w:sz="4" w:space="0"/>
            </w:tcBorders>
            <w:noWrap/>
            <w:vAlign w:val="center"/>
          </w:tcPr>
          <w:p w14:paraId="50021A8E">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63F454DA">
            <w:pPr>
              <w:spacing w:line="240" w:lineRule="exact"/>
              <w:jc w:val="center"/>
              <w:rPr>
                <w:rFonts w:ascii="宋体" w:hAnsi="宋体" w:cs="宋体"/>
                <w:sz w:val="18"/>
                <w:szCs w:val="18"/>
              </w:rPr>
            </w:pPr>
            <w:r>
              <w:rPr>
                <w:rFonts w:hint="eastAsia" w:ascii="宋体" w:hAnsi="宋体" w:cs="宋体"/>
                <w:sz w:val="18"/>
                <w:szCs w:val="18"/>
              </w:rPr>
              <w:t>≥100</w:t>
            </w:r>
          </w:p>
        </w:tc>
        <w:tc>
          <w:tcPr>
            <w:tcW w:w="316" w:type="pct"/>
            <w:tcBorders>
              <w:top w:val="nil"/>
              <w:left w:val="nil"/>
              <w:bottom w:val="single" w:color="auto" w:sz="4" w:space="0"/>
              <w:right w:val="single" w:color="auto" w:sz="4" w:space="0"/>
            </w:tcBorders>
            <w:noWrap/>
            <w:vAlign w:val="center"/>
          </w:tcPr>
          <w:p w14:paraId="05602A5C">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585064F9">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2BEC466D">
            <w:pPr>
              <w:spacing w:line="240" w:lineRule="exact"/>
              <w:jc w:val="center"/>
              <w:rPr>
                <w:rFonts w:ascii="宋体" w:hAnsi="宋体" w:cs="宋体"/>
                <w:sz w:val="18"/>
                <w:szCs w:val="18"/>
              </w:rPr>
            </w:pPr>
            <w:r>
              <w:rPr>
                <w:rFonts w:hint="eastAsia" w:ascii="宋体" w:hAnsi="宋体" w:cs="宋体"/>
                <w:sz w:val="18"/>
                <w:szCs w:val="18"/>
              </w:rPr>
              <w:t>＜100</w:t>
            </w:r>
          </w:p>
        </w:tc>
        <w:tc>
          <w:tcPr>
            <w:tcW w:w="366" w:type="pct"/>
            <w:tcBorders>
              <w:top w:val="nil"/>
              <w:left w:val="nil"/>
              <w:bottom w:val="single" w:color="auto" w:sz="4" w:space="0"/>
              <w:right w:val="single" w:color="auto" w:sz="4" w:space="0"/>
            </w:tcBorders>
            <w:noWrap/>
            <w:vAlign w:val="center"/>
          </w:tcPr>
          <w:p w14:paraId="682BE9C3">
            <w:pPr>
              <w:spacing w:line="240" w:lineRule="exact"/>
              <w:jc w:val="center"/>
              <w:rPr>
                <w:rFonts w:ascii="宋体" w:hAnsi="宋体" w:cs="宋体"/>
                <w:sz w:val="18"/>
                <w:szCs w:val="18"/>
              </w:rPr>
            </w:pPr>
            <w:r>
              <w:rPr>
                <w:rFonts w:hint="eastAsia" w:ascii="宋体" w:hAnsi="宋体" w:cs="宋体"/>
                <w:sz w:val="18"/>
                <w:szCs w:val="18"/>
              </w:rPr>
              <w:t>＜10</w:t>
            </w:r>
          </w:p>
        </w:tc>
        <w:tc>
          <w:tcPr>
            <w:tcW w:w="420" w:type="pct"/>
            <w:tcBorders>
              <w:top w:val="nil"/>
              <w:left w:val="nil"/>
              <w:bottom w:val="single" w:color="auto" w:sz="4" w:space="0"/>
              <w:right w:val="single" w:color="auto" w:sz="4" w:space="0"/>
            </w:tcBorders>
            <w:noWrap/>
            <w:vAlign w:val="center"/>
          </w:tcPr>
          <w:p w14:paraId="7DF0B976">
            <w:pPr>
              <w:spacing w:line="240" w:lineRule="exact"/>
              <w:jc w:val="center"/>
              <w:rPr>
                <w:rFonts w:ascii="宋体" w:hAnsi="宋体" w:cs="宋体"/>
                <w:sz w:val="18"/>
                <w:szCs w:val="18"/>
              </w:rPr>
            </w:pPr>
            <w:r>
              <w:rPr>
                <w:rFonts w:hint="eastAsia" w:ascii="宋体" w:hAnsi="宋体" w:cs="宋体"/>
                <w:sz w:val="18"/>
                <w:szCs w:val="18"/>
              </w:rPr>
              <w:t>　</w:t>
            </w:r>
          </w:p>
        </w:tc>
      </w:tr>
      <w:tr w14:paraId="692EE3CC">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040A92AA">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12</w:t>
            </w:r>
          </w:p>
        </w:tc>
        <w:tc>
          <w:tcPr>
            <w:tcW w:w="646" w:type="pct"/>
            <w:tcBorders>
              <w:top w:val="nil"/>
              <w:left w:val="nil"/>
              <w:bottom w:val="single" w:color="auto" w:sz="4" w:space="0"/>
              <w:right w:val="single" w:color="auto" w:sz="4" w:space="0"/>
            </w:tcBorders>
            <w:vAlign w:val="center"/>
          </w:tcPr>
          <w:p w14:paraId="7160B37B">
            <w:pPr>
              <w:spacing w:line="240" w:lineRule="exact"/>
              <w:ind w:left="-27" w:leftChars="-13" w:right="-65" w:rightChars="-31"/>
              <w:rPr>
                <w:rFonts w:ascii="宋体" w:hAnsi="宋体" w:cs="宋体"/>
                <w:b/>
                <w:sz w:val="18"/>
                <w:szCs w:val="18"/>
              </w:rPr>
            </w:pPr>
            <w:r>
              <w:rPr>
                <w:rFonts w:hint="eastAsia" w:ascii="宋体" w:hAnsi="宋体" w:cs="宋体"/>
                <w:b/>
                <w:sz w:val="18"/>
                <w:szCs w:val="18"/>
              </w:rPr>
              <w:t>软件和信息技术服务业</w:t>
            </w:r>
          </w:p>
        </w:tc>
        <w:tc>
          <w:tcPr>
            <w:tcW w:w="396" w:type="pct"/>
            <w:tcBorders>
              <w:top w:val="nil"/>
              <w:left w:val="nil"/>
              <w:bottom w:val="single" w:color="auto" w:sz="4" w:space="0"/>
              <w:right w:val="single" w:color="auto" w:sz="4" w:space="0"/>
            </w:tcBorders>
            <w:noWrap/>
            <w:vAlign w:val="center"/>
          </w:tcPr>
          <w:p w14:paraId="6447D407">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≥10000</w:t>
            </w:r>
          </w:p>
        </w:tc>
        <w:tc>
          <w:tcPr>
            <w:tcW w:w="304" w:type="pct"/>
            <w:tcBorders>
              <w:top w:val="nil"/>
              <w:left w:val="nil"/>
              <w:bottom w:val="single" w:color="auto" w:sz="4" w:space="0"/>
              <w:right w:val="single" w:color="auto" w:sz="4" w:space="0"/>
            </w:tcBorders>
            <w:noWrap/>
            <w:vAlign w:val="center"/>
          </w:tcPr>
          <w:p w14:paraId="197E124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12" w:type="pct"/>
            <w:tcBorders>
              <w:top w:val="nil"/>
              <w:left w:val="nil"/>
              <w:bottom w:val="single" w:color="auto" w:sz="4" w:space="0"/>
              <w:right w:val="single" w:color="auto" w:sz="4" w:space="0"/>
            </w:tcBorders>
            <w:noWrap/>
            <w:vAlign w:val="center"/>
          </w:tcPr>
          <w:p w14:paraId="7FF1BA37">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5D0DC18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1" w:type="pct"/>
            <w:tcBorders>
              <w:top w:val="nil"/>
              <w:left w:val="nil"/>
              <w:bottom w:val="single" w:color="auto" w:sz="4" w:space="0"/>
              <w:right w:val="single" w:color="auto" w:sz="4" w:space="0"/>
            </w:tcBorders>
            <w:noWrap/>
            <w:vAlign w:val="center"/>
          </w:tcPr>
          <w:p w14:paraId="6B22DFE6">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w:t>
            </w:r>
          </w:p>
        </w:tc>
        <w:tc>
          <w:tcPr>
            <w:tcW w:w="331" w:type="pct"/>
            <w:tcBorders>
              <w:top w:val="nil"/>
              <w:left w:val="nil"/>
              <w:bottom w:val="single" w:color="auto" w:sz="4" w:space="0"/>
              <w:right w:val="single" w:color="auto" w:sz="4" w:space="0"/>
            </w:tcBorders>
            <w:noWrap/>
            <w:vAlign w:val="center"/>
          </w:tcPr>
          <w:p w14:paraId="68150CE5">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5BE67EFA">
            <w:pPr>
              <w:spacing w:line="240" w:lineRule="exact"/>
              <w:jc w:val="center"/>
              <w:rPr>
                <w:rFonts w:ascii="宋体" w:hAnsi="宋体" w:cs="宋体"/>
                <w:sz w:val="18"/>
                <w:szCs w:val="18"/>
              </w:rPr>
            </w:pPr>
            <w:r>
              <w:rPr>
                <w:rFonts w:hint="eastAsia" w:ascii="宋体" w:hAnsi="宋体" w:cs="宋体"/>
                <w:sz w:val="18"/>
                <w:szCs w:val="18"/>
              </w:rPr>
              <w:t>≥50</w:t>
            </w:r>
          </w:p>
        </w:tc>
        <w:tc>
          <w:tcPr>
            <w:tcW w:w="316" w:type="pct"/>
            <w:tcBorders>
              <w:top w:val="nil"/>
              <w:left w:val="nil"/>
              <w:bottom w:val="single" w:color="auto" w:sz="4" w:space="0"/>
              <w:right w:val="single" w:color="auto" w:sz="4" w:space="0"/>
            </w:tcBorders>
            <w:noWrap/>
            <w:vAlign w:val="center"/>
          </w:tcPr>
          <w:p w14:paraId="03CA3ECE">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21922EB4">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267C511C">
            <w:pPr>
              <w:spacing w:line="240" w:lineRule="exact"/>
              <w:jc w:val="center"/>
              <w:rPr>
                <w:rFonts w:ascii="宋体" w:hAnsi="宋体" w:cs="宋体"/>
                <w:sz w:val="18"/>
                <w:szCs w:val="18"/>
              </w:rPr>
            </w:pPr>
            <w:r>
              <w:rPr>
                <w:rFonts w:hint="eastAsia" w:ascii="宋体" w:hAnsi="宋体" w:cs="宋体"/>
                <w:sz w:val="18"/>
                <w:szCs w:val="18"/>
              </w:rPr>
              <w:t>＜50</w:t>
            </w:r>
          </w:p>
        </w:tc>
        <w:tc>
          <w:tcPr>
            <w:tcW w:w="366" w:type="pct"/>
            <w:tcBorders>
              <w:top w:val="nil"/>
              <w:left w:val="nil"/>
              <w:bottom w:val="single" w:color="auto" w:sz="4" w:space="0"/>
              <w:right w:val="single" w:color="auto" w:sz="4" w:space="0"/>
            </w:tcBorders>
            <w:noWrap/>
            <w:vAlign w:val="center"/>
          </w:tcPr>
          <w:p w14:paraId="5CFDD067">
            <w:pPr>
              <w:spacing w:line="240" w:lineRule="exact"/>
              <w:jc w:val="center"/>
              <w:rPr>
                <w:rFonts w:ascii="宋体" w:hAnsi="宋体" w:cs="宋体"/>
                <w:sz w:val="18"/>
                <w:szCs w:val="18"/>
              </w:rPr>
            </w:pPr>
            <w:r>
              <w:rPr>
                <w:rFonts w:hint="eastAsia" w:ascii="宋体" w:hAnsi="宋体" w:cs="宋体"/>
                <w:sz w:val="18"/>
                <w:szCs w:val="18"/>
              </w:rPr>
              <w:t>＜10</w:t>
            </w:r>
          </w:p>
        </w:tc>
        <w:tc>
          <w:tcPr>
            <w:tcW w:w="420" w:type="pct"/>
            <w:tcBorders>
              <w:top w:val="nil"/>
              <w:left w:val="nil"/>
              <w:bottom w:val="single" w:color="auto" w:sz="4" w:space="0"/>
              <w:right w:val="single" w:color="auto" w:sz="4" w:space="0"/>
            </w:tcBorders>
            <w:noWrap/>
            <w:vAlign w:val="center"/>
          </w:tcPr>
          <w:p w14:paraId="7621FCC1">
            <w:pPr>
              <w:spacing w:line="240" w:lineRule="exact"/>
              <w:jc w:val="center"/>
              <w:rPr>
                <w:rFonts w:ascii="宋体" w:hAnsi="宋体" w:cs="宋体"/>
                <w:sz w:val="18"/>
                <w:szCs w:val="18"/>
              </w:rPr>
            </w:pPr>
            <w:r>
              <w:rPr>
                <w:rFonts w:hint="eastAsia" w:ascii="宋体" w:hAnsi="宋体" w:cs="宋体"/>
                <w:sz w:val="18"/>
                <w:szCs w:val="18"/>
              </w:rPr>
              <w:t>　</w:t>
            </w:r>
          </w:p>
        </w:tc>
      </w:tr>
      <w:tr w14:paraId="47B793F0">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657448BC">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13</w:t>
            </w:r>
          </w:p>
        </w:tc>
        <w:tc>
          <w:tcPr>
            <w:tcW w:w="646" w:type="pct"/>
            <w:tcBorders>
              <w:top w:val="nil"/>
              <w:left w:val="nil"/>
              <w:bottom w:val="single" w:color="auto" w:sz="4" w:space="0"/>
              <w:right w:val="single" w:color="auto" w:sz="4" w:space="0"/>
            </w:tcBorders>
            <w:vAlign w:val="center"/>
          </w:tcPr>
          <w:p w14:paraId="21C55786">
            <w:pPr>
              <w:spacing w:line="240" w:lineRule="exact"/>
              <w:ind w:left="-27" w:leftChars="-13" w:right="-65" w:rightChars="-31"/>
              <w:rPr>
                <w:rFonts w:ascii="宋体" w:hAnsi="宋体" w:cs="宋体"/>
                <w:b/>
                <w:sz w:val="18"/>
                <w:szCs w:val="18"/>
              </w:rPr>
            </w:pPr>
            <w:r>
              <w:rPr>
                <w:rFonts w:hint="eastAsia" w:ascii="宋体" w:hAnsi="宋体" w:cs="宋体"/>
                <w:b/>
                <w:sz w:val="18"/>
                <w:szCs w:val="18"/>
              </w:rPr>
              <w:t>房地产开发企业</w:t>
            </w:r>
          </w:p>
        </w:tc>
        <w:tc>
          <w:tcPr>
            <w:tcW w:w="396" w:type="pct"/>
            <w:tcBorders>
              <w:top w:val="nil"/>
              <w:left w:val="nil"/>
              <w:bottom w:val="single" w:color="auto" w:sz="4" w:space="0"/>
              <w:right w:val="single" w:color="auto" w:sz="4" w:space="0"/>
            </w:tcBorders>
            <w:noWrap/>
            <w:vAlign w:val="center"/>
          </w:tcPr>
          <w:p w14:paraId="1E966854">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≥200000</w:t>
            </w:r>
          </w:p>
        </w:tc>
        <w:tc>
          <w:tcPr>
            <w:tcW w:w="304" w:type="pct"/>
            <w:tcBorders>
              <w:top w:val="nil"/>
              <w:left w:val="nil"/>
              <w:bottom w:val="single" w:color="auto" w:sz="4" w:space="0"/>
              <w:right w:val="single" w:color="auto" w:sz="4" w:space="0"/>
            </w:tcBorders>
            <w:noWrap/>
            <w:vAlign w:val="center"/>
          </w:tcPr>
          <w:p w14:paraId="54393302">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12" w:type="pct"/>
            <w:tcBorders>
              <w:top w:val="nil"/>
              <w:left w:val="nil"/>
              <w:bottom w:val="single" w:color="auto" w:sz="4" w:space="0"/>
              <w:right w:val="single" w:color="auto" w:sz="4" w:space="0"/>
            </w:tcBorders>
            <w:noWrap/>
            <w:vAlign w:val="center"/>
          </w:tcPr>
          <w:p w14:paraId="6166B98B">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或,≥10000</w:t>
            </w:r>
          </w:p>
        </w:tc>
        <w:tc>
          <w:tcPr>
            <w:tcW w:w="366" w:type="pct"/>
            <w:tcBorders>
              <w:top w:val="nil"/>
              <w:left w:val="nil"/>
              <w:bottom w:val="single" w:color="auto" w:sz="4" w:space="0"/>
              <w:right w:val="single" w:color="auto" w:sz="4" w:space="0"/>
            </w:tcBorders>
            <w:noWrap/>
            <w:vAlign w:val="center"/>
          </w:tcPr>
          <w:p w14:paraId="52E52E94">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1" w:type="pct"/>
            <w:tcBorders>
              <w:top w:val="nil"/>
              <w:left w:val="nil"/>
              <w:bottom w:val="single" w:color="auto" w:sz="4" w:space="0"/>
              <w:right w:val="single" w:color="auto" w:sz="4" w:space="0"/>
            </w:tcBorders>
            <w:noWrap/>
            <w:vAlign w:val="center"/>
          </w:tcPr>
          <w:p w14:paraId="033F3E4A">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31" w:type="pct"/>
            <w:tcBorders>
              <w:top w:val="nil"/>
              <w:left w:val="nil"/>
              <w:bottom w:val="single" w:color="auto" w:sz="4" w:space="0"/>
              <w:right w:val="single" w:color="auto" w:sz="4" w:space="0"/>
            </w:tcBorders>
            <w:noWrap/>
            <w:vAlign w:val="center"/>
          </w:tcPr>
          <w:p w14:paraId="16CF2397">
            <w:pPr>
              <w:spacing w:line="240" w:lineRule="exact"/>
              <w:jc w:val="center"/>
              <w:rPr>
                <w:rFonts w:ascii="宋体" w:hAnsi="宋体" w:cs="宋体"/>
                <w:sz w:val="18"/>
                <w:szCs w:val="18"/>
              </w:rPr>
            </w:pPr>
            <w:r>
              <w:rPr>
                <w:rFonts w:hint="eastAsia" w:ascii="宋体" w:hAnsi="宋体" w:cs="宋体"/>
                <w:sz w:val="18"/>
                <w:szCs w:val="18"/>
              </w:rPr>
              <w:t>且,≥5000</w:t>
            </w:r>
          </w:p>
        </w:tc>
        <w:tc>
          <w:tcPr>
            <w:tcW w:w="365" w:type="pct"/>
            <w:tcBorders>
              <w:top w:val="nil"/>
              <w:left w:val="nil"/>
              <w:bottom w:val="single" w:color="auto" w:sz="4" w:space="0"/>
              <w:right w:val="single" w:color="auto" w:sz="4" w:space="0"/>
            </w:tcBorders>
            <w:noWrap/>
            <w:vAlign w:val="center"/>
          </w:tcPr>
          <w:p w14:paraId="7B13937E">
            <w:pPr>
              <w:spacing w:line="240" w:lineRule="exact"/>
              <w:jc w:val="center"/>
              <w:rPr>
                <w:rFonts w:ascii="宋体" w:hAnsi="宋体" w:cs="宋体"/>
                <w:sz w:val="18"/>
                <w:szCs w:val="18"/>
              </w:rPr>
            </w:pPr>
            <w:r>
              <w:rPr>
                <w:rFonts w:hint="eastAsia" w:ascii="宋体" w:hAnsi="宋体" w:cs="宋体"/>
                <w:sz w:val="18"/>
                <w:szCs w:val="18"/>
              </w:rPr>
              <w:t>≥100</w:t>
            </w:r>
          </w:p>
        </w:tc>
        <w:tc>
          <w:tcPr>
            <w:tcW w:w="316" w:type="pct"/>
            <w:tcBorders>
              <w:top w:val="nil"/>
              <w:left w:val="nil"/>
              <w:bottom w:val="single" w:color="auto" w:sz="4" w:space="0"/>
              <w:right w:val="single" w:color="auto" w:sz="4" w:space="0"/>
            </w:tcBorders>
            <w:noWrap/>
            <w:vAlign w:val="center"/>
          </w:tcPr>
          <w:p w14:paraId="1DDEE8B4">
            <w:pPr>
              <w:spacing w:line="240" w:lineRule="exact"/>
              <w:jc w:val="center"/>
              <w:rPr>
                <w:rFonts w:ascii="宋体" w:hAnsi="宋体" w:cs="宋体"/>
                <w:sz w:val="18"/>
                <w:szCs w:val="18"/>
              </w:rPr>
            </w:pPr>
            <w:r>
              <w:rPr>
                <w:rFonts w:hint="eastAsia" w:ascii="宋体" w:hAnsi="宋体" w:cs="宋体"/>
                <w:sz w:val="18"/>
                <w:szCs w:val="18"/>
              </w:rPr>
              <w:t>　</w:t>
            </w:r>
          </w:p>
        </w:tc>
        <w:tc>
          <w:tcPr>
            <w:tcW w:w="333" w:type="pct"/>
            <w:tcBorders>
              <w:top w:val="nil"/>
              <w:left w:val="nil"/>
              <w:bottom w:val="single" w:color="auto" w:sz="4" w:space="0"/>
              <w:right w:val="single" w:color="auto" w:sz="4" w:space="0"/>
            </w:tcBorders>
            <w:noWrap/>
            <w:vAlign w:val="center"/>
          </w:tcPr>
          <w:p w14:paraId="21FF2F43">
            <w:pPr>
              <w:spacing w:line="240" w:lineRule="exact"/>
              <w:jc w:val="center"/>
              <w:rPr>
                <w:rFonts w:ascii="宋体" w:hAnsi="宋体" w:cs="宋体"/>
                <w:sz w:val="18"/>
                <w:szCs w:val="18"/>
              </w:rPr>
            </w:pPr>
            <w:r>
              <w:rPr>
                <w:rFonts w:hint="eastAsia" w:ascii="宋体" w:hAnsi="宋体" w:cs="宋体"/>
                <w:sz w:val="18"/>
                <w:szCs w:val="18"/>
              </w:rPr>
              <w:t>且,≥2000</w:t>
            </w:r>
          </w:p>
        </w:tc>
        <w:tc>
          <w:tcPr>
            <w:tcW w:w="365" w:type="pct"/>
            <w:tcBorders>
              <w:top w:val="nil"/>
              <w:left w:val="nil"/>
              <w:bottom w:val="single" w:color="auto" w:sz="4" w:space="0"/>
              <w:right w:val="single" w:color="auto" w:sz="4" w:space="0"/>
            </w:tcBorders>
            <w:noWrap/>
            <w:vAlign w:val="center"/>
          </w:tcPr>
          <w:p w14:paraId="2FA12F0F">
            <w:pPr>
              <w:spacing w:line="240" w:lineRule="exact"/>
              <w:jc w:val="center"/>
              <w:rPr>
                <w:rFonts w:ascii="宋体" w:hAnsi="宋体" w:cs="宋体"/>
                <w:sz w:val="18"/>
                <w:szCs w:val="18"/>
              </w:rPr>
            </w:pPr>
            <w:r>
              <w:rPr>
                <w:rFonts w:hint="eastAsia" w:ascii="宋体" w:hAnsi="宋体" w:cs="宋体"/>
                <w:sz w:val="18"/>
                <w:szCs w:val="18"/>
              </w:rPr>
              <w:t>＜100</w:t>
            </w:r>
          </w:p>
        </w:tc>
        <w:tc>
          <w:tcPr>
            <w:tcW w:w="366" w:type="pct"/>
            <w:tcBorders>
              <w:top w:val="nil"/>
              <w:left w:val="nil"/>
              <w:bottom w:val="single" w:color="auto" w:sz="4" w:space="0"/>
              <w:right w:val="single" w:color="auto" w:sz="4" w:space="0"/>
            </w:tcBorders>
            <w:noWrap/>
            <w:vAlign w:val="center"/>
          </w:tcPr>
          <w:p w14:paraId="1B35ECA5">
            <w:pPr>
              <w:spacing w:line="240" w:lineRule="exact"/>
              <w:jc w:val="center"/>
              <w:rPr>
                <w:rFonts w:ascii="宋体" w:hAnsi="宋体" w:cs="宋体"/>
                <w:sz w:val="18"/>
                <w:szCs w:val="18"/>
              </w:rPr>
            </w:pPr>
            <w:r>
              <w:rPr>
                <w:rFonts w:hint="eastAsia" w:ascii="宋体" w:hAnsi="宋体" w:cs="宋体"/>
                <w:sz w:val="18"/>
                <w:szCs w:val="18"/>
              </w:rPr>
              <w:t>　</w:t>
            </w:r>
          </w:p>
        </w:tc>
        <w:tc>
          <w:tcPr>
            <w:tcW w:w="420" w:type="pct"/>
            <w:tcBorders>
              <w:top w:val="nil"/>
              <w:left w:val="nil"/>
              <w:bottom w:val="single" w:color="auto" w:sz="4" w:space="0"/>
              <w:right w:val="single" w:color="auto" w:sz="4" w:space="0"/>
            </w:tcBorders>
            <w:noWrap/>
            <w:vAlign w:val="center"/>
          </w:tcPr>
          <w:p w14:paraId="4BD50A91">
            <w:pPr>
              <w:spacing w:line="240" w:lineRule="exact"/>
              <w:jc w:val="center"/>
              <w:rPr>
                <w:rFonts w:ascii="宋体" w:hAnsi="宋体" w:cs="宋体"/>
                <w:sz w:val="18"/>
                <w:szCs w:val="18"/>
              </w:rPr>
            </w:pPr>
            <w:r>
              <w:rPr>
                <w:rFonts w:hint="eastAsia" w:ascii="宋体" w:hAnsi="宋体" w:cs="宋体"/>
                <w:sz w:val="18"/>
                <w:szCs w:val="18"/>
              </w:rPr>
              <w:t>或,＜2000</w:t>
            </w:r>
          </w:p>
        </w:tc>
      </w:tr>
      <w:tr w14:paraId="1D539AEC">
        <w:tblPrEx>
          <w:tblCellMar>
            <w:top w:w="0" w:type="dxa"/>
            <w:left w:w="108" w:type="dxa"/>
            <w:bottom w:w="0" w:type="dxa"/>
            <w:right w:w="108" w:type="dxa"/>
          </w:tblCellMar>
        </w:tblPrEx>
        <w:trPr>
          <w:trHeight w:val="569" w:hRule="exact"/>
          <w:jc w:val="center"/>
        </w:trPr>
        <w:tc>
          <w:tcPr>
            <w:tcW w:w="161" w:type="pct"/>
            <w:tcBorders>
              <w:top w:val="nil"/>
              <w:left w:val="single" w:color="auto" w:sz="4" w:space="0"/>
              <w:bottom w:val="single" w:color="auto" w:sz="4" w:space="0"/>
              <w:right w:val="single" w:color="auto" w:sz="4" w:space="0"/>
            </w:tcBorders>
            <w:noWrap/>
            <w:vAlign w:val="center"/>
          </w:tcPr>
          <w:p w14:paraId="7E00D495">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14</w:t>
            </w:r>
          </w:p>
        </w:tc>
        <w:tc>
          <w:tcPr>
            <w:tcW w:w="646" w:type="pct"/>
            <w:tcBorders>
              <w:top w:val="nil"/>
              <w:left w:val="nil"/>
              <w:bottom w:val="single" w:color="auto" w:sz="4" w:space="0"/>
              <w:right w:val="single" w:color="auto" w:sz="4" w:space="0"/>
            </w:tcBorders>
            <w:vAlign w:val="center"/>
          </w:tcPr>
          <w:p w14:paraId="3BECEA8C">
            <w:pPr>
              <w:spacing w:line="240" w:lineRule="exact"/>
              <w:ind w:left="-27" w:leftChars="-13" w:right="-65" w:rightChars="-31"/>
              <w:rPr>
                <w:rFonts w:ascii="宋体" w:hAnsi="宋体" w:cs="宋体"/>
                <w:b/>
                <w:sz w:val="18"/>
                <w:szCs w:val="18"/>
              </w:rPr>
            </w:pPr>
            <w:r>
              <w:rPr>
                <w:rFonts w:hint="eastAsia" w:ascii="宋体" w:hAnsi="宋体" w:cs="宋体"/>
                <w:b/>
                <w:sz w:val="18"/>
                <w:szCs w:val="18"/>
              </w:rPr>
              <w:t>物业管理</w:t>
            </w:r>
          </w:p>
        </w:tc>
        <w:tc>
          <w:tcPr>
            <w:tcW w:w="396" w:type="pct"/>
            <w:tcBorders>
              <w:top w:val="nil"/>
              <w:left w:val="nil"/>
              <w:bottom w:val="single" w:color="auto" w:sz="4" w:space="0"/>
              <w:right w:val="single" w:color="auto" w:sz="4" w:space="0"/>
            </w:tcBorders>
            <w:noWrap/>
            <w:vAlign w:val="center"/>
          </w:tcPr>
          <w:p w14:paraId="673421BF">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≥5000</w:t>
            </w:r>
          </w:p>
        </w:tc>
        <w:tc>
          <w:tcPr>
            <w:tcW w:w="304" w:type="pct"/>
            <w:tcBorders>
              <w:top w:val="nil"/>
              <w:left w:val="nil"/>
              <w:bottom w:val="single" w:color="auto" w:sz="4" w:space="0"/>
              <w:right w:val="single" w:color="auto" w:sz="4" w:space="0"/>
            </w:tcBorders>
            <w:noWrap/>
            <w:vAlign w:val="center"/>
          </w:tcPr>
          <w:p w14:paraId="07AC5BCE">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2" w:type="pct"/>
            <w:tcBorders>
              <w:top w:val="nil"/>
              <w:left w:val="nil"/>
              <w:bottom w:val="single" w:color="auto" w:sz="4" w:space="0"/>
              <w:right w:val="single" w:color="auto" w:sz="4" w:space="0"/>
            </w:tcBorders>
            <w:noWrap/>
            <w:vAlign w:val="center"/>
          </w:tcPr>
          <w:p w14:paraId="4FD16A92">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3174A061">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≥1000</w:t>
            </w:r>
          </w:p>
        </w:tc>
        <w:tc>
          <w:tcPr>
            <w:tcW w:w="311" w:type="pct"/>
            <w:tcBorders>
              <w:top w:val="nil"/>
              <w:left w:val="nil"/>
              <w:bottom w:val="single" w:color="auto" w:sz="4" w:space="0"/>
              <w:right w:val="single" w:color="auto" w:sz="4" w:space="0"/>
            </w:tcBorders>
            <w:noWrap/>
            <w:vAlign w:val="center"/>
          </w:tcPr>
          <w:p w14:paraId="48E6BAD3">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31" w:type="pct"/>
            <w:tcBorders>
              <w:top w:val="nil"/>
              <w:left w:val="nil"/>
              <w:bottom w:val="single" w:color="auto" w:sz="4" w:space="0"/>
              <w:right w:val="single" w:color="auto" w:sz="4" w:space="0"/>
            </w:tcBorders>
            <w:noWrap/>
            <w:vAlign w:val="center"/>
          </w:tcPr>
          <w:p w14:paraId="1991B58B">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0EB74063">
            <w:pPr>
              <w:spacing w:line="240" w:lineRule="exact"/>
              <w:jc w:val="center"/>
              <w:rPr>
                <w:rFonts w:ascii="宋体" w:hAnsi="宋体" w:cs="宋体"/>
                <w:sz w:val="18"/>
                <w:szCs w:val="18"/>
              </w:rPr>
            </w:pPr>
            <w:r>
              <w:rPr>
                <w:rFonts w:hint="eastAsia" w:ascii="宋体" w:hAnsi="宋体" w:cs="宋体"/>
                <w:sz w:val="18"/>
                <w:szCs w:val="18"/>
              </w:rPr>
              <w:t>≥500</w:t>
            </w:r>
          </w:p>
        </w:tc>
        <w:tc>
          <w:tcPr>
            <w:tcW w:w="316" w:type="pct"/>
            <w:tcBorders>
              <w:top w:val="nil"/>
              <w:left w:val="nil"/>
              <w:bottom w:val="single" w:color="auto" w:sz="4" w:space="0"/>
              <w:right w:val="single" w:color="auto" w:sz="4" w:space="0"/>
            </w:tcBorders>
            <w:noWrap/>
            <w:vAlign w:val="center"/>
          </w:tcPr>
          <w:p w14:paraId="302EA7E1">
            <w:pPr>
              <w:spacing w:line="240" w:lineRule="exact"/>
              <w:jc w:val="center"/>
              <w:rPr>
                <w:rFonts w:ascii="宋体" w:hAnsi="宋体" w:cs="宋体"/>
                <w:sz w:val="18"/>
                <w:szCs w:val="18"/>
              </w:rPr>
            </w:pPr>
            <w:r>
              <w:rPr>
                <w:rFonts w:hint="eastAsia" w:ascii="宋体" w:hAnsi="宋体" w:cs="宋体"/>
                <w:sz w:val="18"/>
                <w:szCs w:val="18"/>
              </w:rPr>
              <w:t>≥100</w:t>
            </w:r>
          </w:p>
        </w:tc>
        <w:tc>
          <w:tcPr>
            <w:tcW w:w="333" w:type="pct"/>
            <w:tcBorders>
              <w:top w:val="nil"/>
              <w:left w:val="nil"/>
              <w:bottom w:val="single" w:color="auto" w:sz="4" w:space="0"/>
              <w:right w:val="single" w:color="auto" w:sz="4" w:space="0"/>
            </w:tcBorders>
            <w:noWrap/>
            <w:vAlign w:val="center"/>
          </w:tcPr>
          <w:p w14:paraId="44766952">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48EE3DA1">
            <w:pPr>
              <w:spacing w:line="240" w:lineRule="exact"/>
              <w:jc w:val="center"/>
              <w:rPr>
                <w:rFonts w:ascii="宋体" w:hAnsi="宋体" w:cs="宋体"/>
                <w:sz w:val="18"/>
                <w:szCs w:val="18"/>
              </w:rPr>
            </w:pPr>
            <w:r>
              <w:rPr>
                <w:rFonts w:hint="eastAsia" w:ascii="宋体" w:hAnsi="宋体" w:cs="宋体"/>
                <w:sz w:val="18"/>
                <w:szCs w:val="18"/>
              </w:rPr>
              <w:t>＜500</w:t>
            </w:r>
          </w:p>
        </w:tc>
        <w:tc>
          <w:tcPr>
            <w:tcW w:w="366" w:type="pct"/>
            <w:tcBorders>
              <w:top w:val="nil"/>
              <w:left w:val="nil"/>
              <w:bottom w:val="single" w:color="auto" w:sz="4" w:space="0"/>
              <w:right w:val="single" w:color="auto" w:sz="4" w:space="0"/>
            </w:tcBorders>
            <w:noWrap/>
            <w:vAlign w:val="center"/>
          </w:tcPr>
          <w:p w14:paraId="7BC75E08">
            <w:pPr>
              <w:spacing w:line="240" w:lineRule="exact"/>
              <w:jc w:val="center"/>
              <w:rPr>
                <w:rFonts w:ascii="宋体" w:hAnsi="宋体" w:cs="宋体"/>
                <w:sz w:val="18"/>
                <w:szCs w:val="18"/>
              </w:rPr>
            </w:pPr>
            <w:r>
              <w:rPr>
                <w:rFonts w:hint="eastAsia" w:ascii="宋体" w:hAnsi="宋体" w:cs="宋体"/>
                <w:sz w:val="18"/>
                <w:szCs w:val="18"/>
              </w:rPr>
              <w:t>＜100</w:t>
            </w:r>
          </w:p>
        </w:tc>
        <w:tc>
          <w:tcPr>
            <w:tcW w:w="420" w:type="pct"/>
            <w:tcBorders>
              <w:top w:val="nil"/>
              <w:left w:val="nil"/>
              <w:bottom w:val="single" w:color="auto" w:sz="4" w:space="0"/>
              <w:right w:val="single" w:color="auto" w:sz="4" w:space="0"/>
            </w:tcBorders>
            <w:noWrap/>
            <w:vAlign w:val="center"/>
          </w:tcPr>
          <w:p w14:paraId="6AD81EC8">
            <w:pPr>
              <w:spacing w:line="240" w:lineRule="exact"/>
              <w:jc w:val="center"/>
              <w:rPr>
                <w:rFonts w:ascii="宋体" w:hAnsi="宋体" w:cs="宋体"/>
                <w:sz w:val="18"/>
                <w:szCs w:val="18"/>
              </w:rPr>
            </w:pPr>
            <w:r>
              <w:rPr>
                <w:rFonts w:hint="eastAsia" w:ascii="宋体" w:hAnsi="宋体" w:cs="宋体"/>
                <w:sz w:val="18"/>
                <w:szCs w:val="18"/>
              </w:rPr>
              <w:t>　</w:t>
            </w:r>
          </w:p>
        </w:tc>
      </w:tr>
      <w:tr w14:paraId="67A164A5">
        <w:tblPrEx>
          <w:tblCellMar>
            <w:top w:w="0" w:type="dxa"/>
            <w:left w:w="108" w:type="dxa"/>
            <w:bottom w:w="0" w:type="dxa"/>
            <w:right w:w="108" w:type="dxa"/>
          </w:tblCellMar>
        </w:tblPrEx>
        <w:trPr>
          <w:trHeight w:val="708" w:hRule="exact"/>
          <w:jc w:val="center"/>
        </w:trPr>
        <w:tc>
          <w:tcPr>
            <w:tcW w:w="161" w:type="pct"/>
            <w:tcBorders>
              <w:top w:val="nil"/>
              <w:left w:val="single" w:color="auto" w:sz="4" w:space="0"/>
              <w:bottom w:val="single" w:color="auto" w:sz="4" w:space="0"/>
              <w:right w:val="single" w:color="auto" w:sz="4" w:space="0"/>
            </w:tcBorders>
            <w:noWrap/>
            <w:vAlign w:val="center"/>
          </w:tcPr>
          <w:p w14:paraId="2BF92730">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15</w:t>
            </w:r>
          </w:p>
        </w:tc>
        <w:tc>
          <w:tcPr>
            <w:tcW w:w="646" w:type="pct"/>
            <w:tcBorders>
              <w:top w:val="nil"/>
              <w:left w:val="nil"/>
              <w:bottom w:val="single" w:color="auto" w:sz="4" w:space="0"/>
              <w:right w:val="single" w:color="auto" w:sz="4" w:space="0"/>
            </w:tcBorders>
            <w:vAlign w:val="center"/>
          </w:tcPr>
          <w:p w14:paraId="0C04D11F">
            <w:pPr>
              <w:spacing w:line="240" w:lineRule="exact"/>
              <w:ind w:left="-27" w:leftChars="-13" w:right="-65" w:rightChars="-31"/>
              <w:rPr>
                <w:rFonts w:ascii="宋体" w:hAnsi="宋体" w:cs="宋体"/>
                <w:b/>
                <w:sz w:val="18"/>
                <w:szCs w:val="18"/>
              </w:rPr>
            </w:pPr>
            <w:r>
              <w:rPr>
                <w:rFonts w:hint="eastAsia" w:ascii="宋体" w:hAnsi="宋体" w:cs="宋体"/>
                <w:b/>
                <w:sz w:val="18"/>
                <w:szCs w:val="18"/>
              </w:rPr>
              <w:t>租赁和商务服务业</w:t>
            </w:r>
          </w:p>
        </w:tc>
        <w:tc>
          <w:tcPr>
            <w:tcW w:w="396" w:type="pct"/>
            <w:tcBorders>
              <w:top w:val="nil"/>
              <w:left w:val="nil"/>
              <w:bottom w:val="single" w:color="auto" w:sz="4" w:space="0"/>
              <w:right w:val="single" w:color="auto" w:sz="4" w:space="0"/>
            </w:tcBorders>
            <w:noWrap/>
            <w:vAlign w:val="center"/>
          </w:tcPr>
          <w:p w14:paraId="17E9D91F">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04" w:type="pct"/>
            <w:tcBorders>
              <w:top w:val="nil"/>
              <w:left w:val="nil"/>
              <w:bottom w:val="single" w:color="auto" w:sz="4" w:space="0"/>
              <w:right w:val="single" w:color="auto" w:sz="4" w:space="0"/>
            </w:tcBorders>
            <w:noWrap/>
            <w:vAlign w:val="center"/>
          </w:tcPr>
          <w:p w14:paraId="187A1910">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12" w:type="pct"/>
            <w:tcBorders>
              <w:top w:val="nil"/>
              <w:left w:val="nil"/>
              <w:bottom w:val="single" w:color="auto" w:sz="4" w:space="0"/>
              <w:right w:val="single" w:color="auto" w:sz="4" w:space="0"/>
            </w:tcBorders>
            <w:noWrap/>
            <w:vAlign w:val="center"/>
          </w:tcPr>
          <w:p w14:paraId="40E013BE">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或,≥120000</w:t>
            </w:r>
          </w:p>
        </w:tc>
        <w:tc>
          <w:tcPr>
            <w:tcW w:w="366" w:type="pct"/>
            <w:tcBorders>
              <w:top w:val="nil"/>
              <w:left w:val="nil"/>
              <w:bottom w:val="single" w:color="auto" w:sz="4" w:space="0"/>
              <w:right w:val="single" w:color="auto" w:sz="4" w:space="0"/>
            </w:tcBorders>
            <w:noWrap/>
            <w:vAlign w:val="center"/>
          </w:tcPr>
          <w:p w14:paraId="4AE711EA">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11" w:type="pct"/>
            <w:tcBorders>
              <w:top w:val="nil"/>
              <w:left w:val="nil"/>
              <w:bottom w:val="single" w:color="auto" w:sz="4" w:space="0"/>
              <w:right w:val="single" w:color="auto" w:sz="4" w:space="0"/>
            </w:tcBorders>
            <w:noWrap/>
            <w:vAlign w:val="center"/>
          </w:tcPr>
          <w:p w14:paraId="25A2046E">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w:t>
            </w:r>
          </w:p>
        </w:tc>
        <w:tc>
          <w:tcPr>
            <w:tcW w:w="331" w:type="pct"/>
            <w:tcBorders>
              <w:top w:val="nil"/>
              <w:left w:val="nil"/>
              <w:bottom w:val="single" w:color="auto" w:sz="4" w:space="0"/>
              <w:right w:val="single" w:color="auto" w:sz="4" w:space="0"/>
            </w:tcBorders>
            <w:noWrap/>
            <w:vAlign w:val="center"/>
          </w:tcPr>
          <w:p w14:paraId="300315AF">
            <w:pPr>
              <w:spacing w:line="240" w:lineRule="exact"/>
              <w:jc w:val="center"/>
              <w:rPr>
                <w:rFonts w:ascii="宋体" w:hAnsi="宋体" w:cs="宋体"/>
                <w:sz w:val="18"/>
                <w:szCs w:val="18"/>
              </w:rPr>
            </w:pPr>
            <w:r>
              <w:rPr>
                <w:rFonts w:hint="eastAsia" w:ascii="宋体" w:hAnsi="宋体" w:cs="宋体"/>
                <w:sz w:val="18"/>
                <w:szCs w:val="18"/>
              </w:rPr>
              <w:t>且,≥8000</w:t>
            </w:r>
          </w:p>
        </w:tc>
        <w:tc>
          <w:tcPr>
            <w:tcW w:w="365" w:type="pct"/>
            <w:tcBorders>
              <w:top w:val="nil"/>
              <w:left w:val="nil"/>
              <w:bottom w:val="single" w:color="auto" w:sz="4" w:space="0"/>
              <w:right w:val="single" w:color="auto" w:sz="4" w:space="0"/>
            </w:tcBorders>
            <w:noWrap/>
            <w:vAlign w:val="center"/>
          </w:tcPr>
          <w:p w14:paraId="09198333">
            <w:pPr>
              <w:spacing w:line="240" w:lineRule="exact"/>
              <w:jc w:val="center"/>
              <w:rPr>
                <w:rFonts w:ascii="宋体" w:hAnsi="宋体" w:cs="宋体"/>
                <w:sz w:val="18"/>
                <w:szCs w:val="18"/>
              </w:rPr>
            </w:pPr>
            <w:r>
              <w:rPr>
                <w:rFonts w:hint="eastAsia" w:ascii="宋体" w:hAnsi="宋体" w:cs="宋体"/>
                <w:sz w:val="18"/>
                <w:szCs w:val="18"/>
              </w:rPr>
              <w:t>　</w:t>
            </w:r>
          </w:p>
        </w:tc>
        <w:tc>
          <w:tcPr>
            <w:tcW w:w="316" w:type="pct"/>
            <w:tcBorders>
              <w:top w:val="nil"/>
              <w:left w:val="nil"/>
              <w:bottom w:val="single" w:color="auto" w:sz="4" w:space="0"/>
              <w:right w:val="single" w:color="auto" w:sz="4" w:space="0"/>
            </w:tcBorders>
            <w:noWrap/>
            <w:vAlign w:val="center"/>
          </w:tcPr>
          <w:p w14:paraId="27454574">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1645E140">
            <w:pPr>
              <w:spacing w:line="240" w:lineRule="exact"/>
              <w:jc w:val="center"/>
              <w:rPr>
                <w:rFonts w:ascii="宋体" w:hAnsi="宋体" w:cs="宋体"/>
                <w:sz w:val="18"/>
                <w:szCs w:val="18"/>
              </w:rPr>
            </w:pPr>
            <w:r>
              <w:rPr>
                <w:rFonts w:hint="eastAsia" w:ascii="宋体" w:hAnsi="宋体" w:cs="宋体"/>
                <w:sz w:val="18"/>
                <w:szCs w:val="18"/>
              </w:rPr>
              <w:t>且,≥100</w:t>
            </w:r>
          </w:p>
        </w:tc>
        <w:tc>
          <w:tcPr>
            <w:tcW w:w="365" w:type="pct"/>
            <w:tcBorders>
              <w:top w:val="nil"/>
              <w:left w:val="nil"/>
              <w:bottom w:val="single" w:color="auto" w:sz="4" w:space="0"/>
              <w:right w:val="single" w:color="auto" w:sz="4" w:space="0"/>
            </w:tcBorders>
            <w:noWrap/>
            <w:vAlign w:val="center"/>
          </w:tcPr>
          <w:p w14:paraId="41BD19CE">
            <w:pPr>
              <w:spacing w:line="240" w:lineRule="exact"/>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23E927B0">
            <w:pPr>
              <w:spacing w:line="240" w:lineRule="exact"/>
              <w:jc w:val="center"/>
              <w:rPr>
                <w:rFonts w:ascii="宋体" w:hAnsi="宋体" w:cs="宋体"/>
                <w:sz w:val="18"/>
                <w:szCs w:val="18"/>
              </w:rPr>
            </w:pPr>
            <w:r>
              <w:rPr>
                <w:rFonts w:hint="eastAsia" w:ascii="宋体" w:hAnsi="宋体" w:cs="宋体"/>
                <w:sz w:val="18"/>
                <w:szCs w:val="18"/>
              </w:rPr>
              <w:t>＜10</w:t>
            </w:r>
          </w:p>
        </w:tc>
        <w:tc>
          <w:tcPr>
            <w:tcW w:w="420" w:type="pct"/>
            <w:tcBorders>
              <w:top w:val="nil"/>
              <w:left w:val="nil"/>
              <w:bottom w:val="single" w:color="auto" w:sz="4" w:space="0"/>
              <w:right w:val="single" w:color="auto" w:sz="4" w:space="0"/>
            </w:tcBorders>
            <w:noWrap/>
            <w:vAlign w:val="center"/>
          </w:tcPr>
          <w:p w14:paraId="694CCFC3">
            <w:pPr>
              <w:spacing w:line="240" w:lineRule="exact"/>
              <w:jc w:val="center"/>
              <w:rPr>
                <w:rFonts w:ascii="宋体" w:hAnsi="宋体" w:cs="宋体"/>
                <w:sz w:val="18"/>
                <w:szCs w:val="18"/>
              </w:rPr>
            </w:pPr>
            <w:r>
              <w:rPr>
                <w:rFonts w:hint="eastAsia" w:ascii="宋体" w:hAnsi="宋体" w:cs="宋体"/>
                <w:sz w:val="18"/>
                <w:szCs w:val="18"/>
              </w:rPr>
              <w:t>或,＜100</w:t>
            </w:r>
          </w:p>
        </w:tc>
      </w:tr>
      <w:tr w14:paraId="51274CC2">
        <w:tblPrEx>
          <w:tblCellMar>
            <w:top w:w="0" w:type="dxa"/>
            <w:left w:w="108" w:type="dxa"/>
            <w:bottom w:w="0" w:type="dxa"/>
            <w:right w:w="108" w:type="dxa"/>
          </w:tblCellMar>
        </w:tblPrEx>
        <w:trPr>
          <w:trHeight w:val="583" w:hRule="exact"/>
          <w:jc w:val="center"/>
        </w:trPr>
        <w:tc>
          <w:tcPr>
            <w:tcW w:w="161" w:type="pct"/>
            <w:tcBorders>
              <w:top w:val="nil"/>
              <w:left w:val="single" w:color="auto" w:sz="4" w:space="0"/>
              <w:bottom w:val="single" w:color="auto" w:sz="4" w:space="0"/>
              <w:right w:val="single" w:color="auto" w:sz="4" w:space="0"/>
            </w:tcBorders>
            <w:noWrap/>
            <w:vAlign w:val="center"/>
          </w:tcPr>
          <w:p w14:paraId="6A7BC74A">
            <w:pPr>
              <w:spacing w:line="240" w:lineRule="exact"/>
              <w:ind w:left="-107" w:leftChars="-51" w:right="-107" w:rightChars="-51"/>
              <w:jc w:val="center"/>
              <w:rPr>
                <w:rFonts w:ascii="宋体" w:hAnsi="宋体" w:cs="宋体"/>
                <w:b/>
                <w:sz w:val="18"/>
                <w:szCs w:val="18"/>
              </w:rPr>
            </w:pPr>
            <w:r>
              <w:rPr>
                <w:rFonts w:hint="eastAsia" w:ascii="宋体" w:hAnsi="宋体" w:cs="宋体"/>
                <w:b/>
                <w:sz w:val="18"/>
                <w:szCs w:val="18"/>
              </w:rPr>
              <w:t>16</w:t>
            </w:r>
          </w:p>
        </w:tc>
        <w:tc>
          <w:tcPr>
            <w:tcW w:w="646" w:type="pct"/>
            <w:tcBorders>
              <w:top w:val="nil"/>
              <w:left w:val="nil"/>
              <w:bottom w:val="single" w:color="auto" w:sz="4" w:space="0"/>
              <w:right w:val="single" w:color="auto" w:sz="4" w:space="0"/>
            </w:tcBorders>
            <w:vAlign w:val="center"/>
          </w:tcPr>
          <w:p w14:paraId="78BA6454">
            <w:pPr>
              <w:spacing w:line="240" w:lineRule="exact"/>
              <w:ind w:left="-27" w:leftChars="-13" w:right="-65" w:rightChars="-31"/>
              <w:rPr>
                <w:rFonts w:ascii="宋体" w:hAnsi="宋体" w:cs="宋体"/>
                <w:b/>
                <w:sz w:val="18"/>
                <w:szCs w:val="18"/>
              </w:rPr>
            </w:pPr>
            <w:r>
              <w:rPr>
                <w:rFonts w:hint="eastAsia" w:ascii="宋体" w:hAnsi="宋体" w:cs="宋体"/>
                <w:b/>
                <w:sz w:val="18"/>
                <w:szCs w:val="18"/>
              </w:rPr>
              <w:t>其他未列明行业</w:t>
            </w:r>
          </w:p>
        </w:tc>
        <w:tc>
          <w:tcPr>
            <w:tcW w:w="396" w:type="pct"/>
            <w:tcBorders>
              <w:top w:val="nil"/>
              <w:left w:val="nil"/>
              <w:bottom w:val="single" w:color="auto" w:sz="4" w:space="0"/>
              <w:right w:val="single" w:color="auto" w:sz="4" w:space="0"/>
            </w:tcBorders>
            <w:noWrap/>
            <w:vAlign w:val="center"/>
          </w:tcPr>
          <w:p w14:paraId="25FF20FD">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04" w:type="pct"/>
            <w:tcBorders>
              <w:top w:val="nil"/>
              <w:left w:val="nil"/>
              <w:bottom w:val="single" w:color="auto" w:sz="4" w:space="0"/>
              <w:right w:val="single" w:color="auto" w:sz="4" w:space="0"/>
            </w:tcBorders>
            <w:noWrap/>
            <w:vAlign w:val="center"/>
          </w:tcPr>
          <w:p w14:paraId="1999C433">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≥300</w:t>
            </w:r>
          </w:p>
        </w:tc>
        <w:tc>
          <w:tcPr>
            <w:tcW w:w="312" w:type="pct"/>
            <w:tcBorders>
              <w:top w:val="nil"/>
              <w:left w:val="nil"/>
              <w:bottom w:val="single" w:color="auto" w:sz="4" w:space="0"/>
              <w:right w:val="single" w:color="auto" w:sz="4" w:space="0"/>
            </w:tcBorders>
            <w:noWrap/>
            <w:vAlign w:val="center"/>
          </w:tcPr>
          <w:p w14:paraId="2B39DD6F">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6A8C9599">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　</w:t>
            </w:r>
          </w:p>
        </w:tc>
        <w:tc>
          <w:tcPr>
            <w:tcW w:w="311" w:type="pct"/>
            <w:tcBorders>
              <w:top w:val="nil"/>
              <w:left w:val="nil"/>
              <w:bottom w:val="single" w:color="auto" w:sz="4" w:space="0"/>
              <w:right w:val="single" w:color="auto" w:sz="4" w:space="0"/>
            </w:tcBorders>
            <w:noWrap/>
            <w:vAlign w:val="center"/>
          </w:tcPr>
          <w:p w14:paraId="3D51970E">
            <w:pPr>
              <w:spacing w:line="240" w:lineRule="exact"/>
              <w:ind w:left="-107" w:leftChars="-51" w:right="-107" w:rightChars="-51"/>
              <w:jc w:val="center"/>
              <w:rPr>
                <w:rFonts w:ascii="宋体" w:hAnsi="宋体" w:cs="宋体"/>
                <w:sz w:val="18"/>
                <w:szCs w:val="18"/>
              </w:rPr>
            </w:pPr>
            <w:r>
              <w:rPr>
                <w:rFonts w:hint="eastAsia" w:ascii="宋体" w:hAnsi="宋体" w:cs="宋体"/>
                <w:sz w:val="18"/>
                <w:szCs w:val="18"/>
              </w:rPr>
              <w:t>≥100</w:t>
            </w:r>
          </w:p>
        </w:tc>
        <w:tc>
          <w:tcPr>
            <w:tcW w:w="331" w:type="pct"/>
            <w:tcBorders>
              <w:top w:val="nil"/>
              <w:left w:val="nil"/>
              <w:bottom w:val="single" w:color="auto" w:sz="4" w:space="0"/>
              <w:right w:val="single" w:color="auto" w:sz="4" w:space="0"/>
            </w:tcBorders>
            <w:noWrap/>
            <w:vAlign w:val="center"/>
          </w:tcPr>
          <w:p w14:paraId="6C888C11">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0B9134FE">
            <w:pPr>
              <w:spacing w:line="240" w:lineRule="exact"/>
              <w:jc w:val="center"/>
              <w:rPr>
                <w:rFonts w:ascii="宋体" w:hAnsi="宋体" w:cs="宋体"/>
                <w:sz w:val="18"/>
                <w:szCs w:val="18"/>
              </w:rPr>
            </w:pPr>
            <w:r>
              <w:rPr>
                <w:rFonts w:hint="eastAsia" w:ascii="宋体" w:hAnsi="宋体" w:cs="宋体"/>
                <w:sz w:val="18"/>
                <w:szCs w:val="18"/>
              </w:rPr>
              <w:t>　</w:t>
            </w:r>
          </w:p>
        </w:tc>
        <w:tc>
          <w:tcPr>
            <w:tcW w:w="316" w:type="pct"/>
            <w:tcBorders>
              <w:top w:val="nil"/>
              <w:left w:val="nil"/>
              <w:bottom w:val="single" w:color="auto" w:sz="4" w:space="0"/>
              <w:right w:val="single" w:color="auto" w:sz="4" w:space="0"/>
            </w:tcBorders>
            <w:noWrap/>
            <w:vAlign w:val="center"/>
          </w:tcPr>
          <w:p w14:paraId="6F12BD3F">
            <w:pPr>
              <w:spacing w:line="240" w:lineRule="exact"/>
              <w:jc w:val="center"/>
              <w:rPr>
                <w:rFonts w:ascii="宋体" w:hAnsi="宋体" w:cs="宋体"/>
                <w:sz w:val="18"/>
                <w:szCs w:val="18"/>
              </w:rPr>
            </w:pPr>
            <w:r>
              <w:rPr>
                <w:rFonts w:hint="eastAsia" w:ascii="宋体" w:hAnsi="宋体" w:cs="宋体"/>
                <w:sz w:val="18"/>
                <w:szCs w:val="18"/>
              </w:rPr>
              <w:t>≥10</w:t>
            </w:r>
          </w:p>
        </w:tc>
        <w:tc>
          <w:tcPr>
            <w:tcW w:w="333" w:type="pct"/>
            <w:tcBorders>
              <w:top w:val="nil"/>
              <w:left w:val="nil"/>
              <w:bottom w:val="single" w:color="auto" w:sz="4" w:space="0"/>
              <w:right w:val="single" w:color="auto" w:sz="4" w:space="0"/>
            </w:tcBorders>
            <w:noWrap/>
            <w:vAlign w:val="center"/>
          </w:tcPr>
          <w:p w14:paraId="175A8CEC">
            <w:pPr>
              <w:spacing w:line="240" w:lineRule="exact"/>
              <w:jc w:val="center"/>
              <w:rPr>
                <w:rFonts w:ascii="宋体" w:hAnsi="宋体" w:cs="宋体"/>
                <w:sz w:val="18"/>
                <w:szCs w:val="18"/>
              </w:rPr>
            </w:pPr>
            <w:r>
              <w:rPr>
                <w:rFonts w:hint="eastAsia" w:ascii="宋体" w:hAnsi="宋体" w:cs="宋体"/>
                <w:sz w:val="18"/>
                <w:szCs w:val="18"/>
              </w:rPr>
              <w:t>　</w:t>
            </w:r>
          </w:p>
        </w:tc>
        <w:tc>
          <w:tcPr>
            <w:tcW w:w="365" w:type="pct"/>
            <w:tcBorders>
              <w:top w:val="nil"/>
              <w:left w:val="nil"/>
              <w:bottom w:val="single" w:color="auto" w:sz="4" w:space="0"/>
              <w:right w:val="single" w:color="auto" w:sz="4" w:space="0"/>
            </w:tcBorders>
            <w:noWrap/>
            <w:vAlign w:val="center"/>
          </w:tcPr>
          <w:p w14:paraId="73DE2373">
            <w:pPr>
              <w:spacing w:line="240" w:lineRule="exact"/>
              <w:jc w:val="center"/>
              <w:rPr>
                <w:rFonts w:ascii="宋体" w:hAnsi="宋体" w:cs="宋体"/>
                <w:sz w:val="18"/>
                <w:szCs w:val="18"/>
              </w:rPr>
            </w:pPr>
            <w:r>
              <w:rPr>
                <w:rFonts w:hint="eastAsia" w:ascii="宋体" w:hAnsi="宋体" w:cs="宋体"/>
                <w:sz w:val="18"/>
                <w:szCs w:val="18"/>
              </w:rPr>
              <w:t>　</w:t>
            </w:r>
          </w:p>
        </w:tc>
        <w:tc>
          <w:tcPr>
            <w:tcW w:w="366" w:type="pct"/>
            <w:tcBorders>
              <w:top w:val="nil"/>
              <w:left w:val="nil"/>
              <w:bottom w:val="single" w:color="auto" w:sz="4" w:space="0"/>
              <w:right w:val="single" w:color="auto" w:sz="4" w:space="0"/>
            </w:tcBorders>
            <w:noWrap/>
            <w:vAlign w:val="center"/>
          </w:tcPr>
          <w:p w14:paraId="33A474AD">
            <w:pPr>
              <w:spacing w:line="240" w:lineRule="exact"/>
              <w:jc w:val="center"/>
              <w:rPr>
                <w:rFonts w:ascii="宋体" w:hAnsi="宋体" w:cs="宋体"/>
                <w:sz w:val="18"/>
                <w:szCs w:val="18"/>
              </w:rPr>
            </w:pPr>
            <w:r>
              <w:rPr>
                <w:rFonts w:hint="eastAsia" w:ascii="宋体" w:hAnsi="宋体" w:cs="宋体"/>
                <w:sz w:val="18"/>
                <w:szCs w:val="18"/>
              </w:rPr>
              <w:t>＜10</w:t>
            </w:r>
          </w:p>
        </w:tc>
        <w:tc>
          <w:tcPr>
            <w:tcW w:w="420" w:type="pct"/>
            <w:tcBorders>
              <w:top w:val="nil"/>
              <w:left w:val="nil"/>
              <w:bottom w:val="single" w:color="auto" w:sz="4" w:space="0"/>
              <w:right w:val="single" w:color="auto" w:sz="4" w:space="0"/>
            </w:tcBorders>
            <w:noWrap/>
            <w:vAlign w:val="center"/>
          </w:tcPr>
          <w:p w14:paraId="1E973FA4">
            <w:pPr>
              <w:spacing w:line="240" w:lineRule="exact"/>
              <w:jc w:val="center"/>
              <w:rPr>
                <w:rFonts w:ascii="宋体" w:hAnsi="宋体" w:cs="宋体"/>
                <w:sz w:val="18"/>
                <w:szCs w:val="18"/>
              </w:rPr>
            </w:pPr>
            <w:r>
              <w:rPr>
                <w:rFonts w:hint="eastAsia" w:ascii="宋体" w:hAnsi="宋体" w:cs="宋体"/>
                <w:sz w:val="18"/>
                <w:szCs w:val="18"/>
              </w:rPr>
              <w:t>　</w:t>
            </w:r>
          </w:p>
        </w:tc>
      </w:tr>
    </w:tbl>
    <w:p w14:paraId="2B451536">
      <w:pPr>
        <w:pStyle w:val="30"/>
        <w:rPr>
          <w:rFonts w:hint="eastAsia" w:ascii="宋体" w:hAnsi="宋体" w:cs="宋体"/>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080E0000" w:usb2="00000000"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行楷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_x000B__x000C_">
    <w:altName w:val="Times New Roman"/>
    <w:panose1 w:val="00000000000000000000"/>
    <w:charset w:val="00"/>
    <w:family w:val="roman"/>
    <w:pitch w:val="default"/>
    <w:sig w:usb0="00000000" w:usb1="00000000" w:usb2="00000000" w:usb3="00000000" w:csb0="00040001" w:csb1="00000000"/>
  </w:font>
  <w:font w:name="等线">
    <w:altName w:val="方正黑体简体"/>
    <w:panose1 w:val="02010600030101010101"/>
    <w:charset w:val="86"/>
    <w:family w:val="auto"/>
    <w:pitch w:val="default"/>
    <w:sig w:usb0="00000000" w:usb1="00000000" w:usb2="00000016" w:usb3="00000000" w:csb0="0004000F"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国标宋体-超大字符集扩">
    <w:panose1 w:val="00000500000000000000"/>
    <w:charset w:val="86"/>
    <w:family w:val="auto"/>
    <w:pitch w:val="default"/>
    <w:sig w:usb0="00000001" w:usb1="08000000" w:usb2="00000000" w:usb3="00000000" w:csb0="00040000" w:csb1="00000000"/>
  </w:font>
  <w:font w:name="Helvetica">
    <w:altName w:val="Noto Naskh Arabic"/>
    <w:panose1 w:val="020B0504020202030204"/>
    <w:charset w:val="00"/>
    <w:family w:val="swiss"/>
    <w:pitch w:val="default"/>
    <w:sig w:usb0="00000000" w:usb1="00000000" w:usb2="00000000" w:usb3="00000000" w:csb0="00000093" w:csb1="00000000"/>
  </w:font>
  <w:font w:name="Noto Naskh Arabic">
    <w:panose1 w:val="020B0502040504020204"/>
    <w:charset w:val="00"/>
    <w:family w:val="auto"/>
    <w:pitch w:val="default"/>
    <w:sig w:usb0="80002003" w:usb1="80002000" w:usb2="00000008" w:usb3="00000000" w:csb0="00000041" w:csb1="00080000"/>
  </w:font>
  <w:font w:name="文泉驿正黑">
    <w:panose1 w:val="02000603000000000000"/>
    <w:charset w:val="86"/>
    <w:family w:val="auto"/>
    <w:pitch w:val="default"/>
    <w:sig w:usb0="900002BF" w:usb1="2BDF7DFB" w:usb2="00000036" w:usb3="00000000" w:csb0="603E000D" w:csb1="D2D70000"/>
  </w:font>
  <w:font w:name="Kingsoft UE">
    <w:panose1 w:val="02000100010000000000"/>
    <w:charset w:val="00"/>
    <w:family w:val="auto"/>
    <w:pitch w:val="default"/>
    <w:sig w:usb0="00000001" w:usb1="00004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795F">
    <w:pPr>
      <w:pStyle w:val="16"/>
      <w:ind w:right="360"/>
      <w:jc w:val="center"/>
      <w:rPr>
        <w:rStyle w:val="27"/>
      </w:rPr>
    </w:pPr>
  </w:p>
  <w:p w14:paraId="56D095A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6B8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952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B65D8">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758B65D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DBB0">
    <w:pPr>
      <w:pStyle w:val="16"/>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2C689">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66D2C689">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DC96">
    <w:pPr>
      <w:pStyle w:val="16"/>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45D717">
                          <w:pPr>
                            <w:pStyle w:val="16"/>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14:paraId="7145D717">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240C">
    <w:pPr>
      <w:pStyle w:val="16"/>
      <w:wordWrap w:val="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4A40D">
                          <w:pPr>
                            <w:pStyle w:val="16"/>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5A64A40D">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4EE36"/>
    <w:multiLevelType w:val="singleLevel"/>
    <w:tmpl w:val="F104EE36"/>
    <w:lvl w:ilvl="0" w:tentative="0">
      <w:start w:val="1"/>
      <w:numFmt w:val="decimal"/>
      <w:lvlText w:val="%1."/>
      <w:lvlJc w:val="left"/>
      <w:pPr>
        <w:ind w:left="425" w:hanging="425"/>
      </w:pPr>
      <w:rPr>
        <w:rFonts w:hint="default"/>
      </w:rPr>
    </w:lvl>
  </w:abstractNum>
  <w:abstractNum w:abstractNumId="1">
    <w:nsid w:val="03587FB6"/>
    <w:multiLevelType w:val="multilevel"/>
    <w:tmpl w:val="03587FB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E62477"/>
    <w:multiLevelType w:val="singleLevel"/>
    <w:tmpl w:val="36E62477"/>
    <w:lvl w:ilvl="0" w:tentative="0">
      <w:start w:val="1"/>
      <w:numFmt w:val="decimal"/>
      <w:lvlText w:val="%1."/>
      <w:lvlJc w:val="left"/>
      <w:pPr>
        <w:tabs>
          <w:tab w:val="left" w:pos="312"/>
        </w:tabs>
      </w:pPr>
    </w:lvl>
  </w:abstractNum>
  <w:abstractNum w:abstractNumId="3">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96E2C95"/>
    <w:multiLevelType w:val="singleLevel"/>
    <w:tmpl w:val="796E2C95"/>
    <w:lvl w:ilvl="0" w:tentative="0">
      <w:start w:val="1"/>
      <w:numFmt w:val="decimal"/>
      <w:suff w:val="nothing"/>
      <w:lvlText w:val="（%1）"/>
      <w:lvlJc w:val="left"/>
    </w:lvl>
  </w:abstractNum>
  <w:abstractNum w:abstractNumId="7">
    <w:nsid w:val="7EB66989"/>
    <w:multiLevelType w:val="multilevel"/>
    <w:tmpl w:val="7EB6698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0"/>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ZTFjODM0YjMzN2QyNGViMTdiOTg5NTA2MjI2MDgifQ=="/>
  </w:docVars>
  <w:rsids>
    <w:rsidRoot w:val="00E42D4E"/>
    <w:rsid w:val="00024131"/>
    <w:rsid w:val="00073A8F"/>
    <w:rsid w:val="00083861"/>
    <w:rsid w:val="000C1836"/>
    <w:rsid w:val="0011670C"/>
    <w:rsid w:val="00125ABE"/>
    <w:rsid w:val="001421B1"/>
    <w:rsid w:val="00187C5A"/>
    <w:rsid w:val="00194320"/>
    <w:rsid w:val="001945DE"/>
    <w:rsid w:val="001A492B"/>
    <w:rsid w:val="001B6D17"/>
    <w:rsid w:val="001D582B"/>
    <w:rsid w:val="001D654A"/>
    <w:rsid w:val="0020398D"/>
    <w:rsid w:val="00247343"/>
    <w:rsid w:val="00255107"/>
    <w:rsid w:val="002B0598"/>
    <w:rsid w:val="002B7AEC"/>
    <w:rsid w:val="002E7711"/>
    <w:rsid w:val="00322BEC"/>
    <w:rsid w:val="003476F8"/>
    <w:rsid w:val="0035333C"/>
    <w:rsid w:val="003544C0"/>
    <w:rsid w:val="00387459"/>
    <w:rsid w:val="00390E15"/>
    <w:rsid w:val="0039530C"/>
    <w:rsid w:val="003B146B"/>
    <w:rsid w:val="003C28DE"/>
    <w:rsid w:val="00472807"/>
    <w:rsid w:val="00482212"/>
    <w:rsid w:val="004C2C37"/>
    <w:rsid w:val="004E7D7E"/>
    <w:rsid w:val="00513352"/>
    <w:rsid w:val="005150D6"/>
    <w:rsid w:val="00521350"/>
    <w:rsid w:val="005263A6"/>
    <w:rsid w:val="00535E7A"/>
    <w:rsid w:val="00547E74"/>
    <w:rsid w:val="00567CC1"/>
    <w:rsid w:val="005D7BA6"/>
    <w:rsid w:val="005F329B"/>
    <w:rsid w:val="00606DB8"/>
    <w:rsid w:val="00616DBC"/>
    <w:rsid w:val="006279AF"/>
    <w:rsid w:val="0063082F"/>
    <w:rsid w:val="00634875"/>
    <w:rsid w:val="006502C4"/>
    <w:rsid w:val="00653E2E"/>
    <w:rsid w:val="006A7DC1"/>
    <w:rsid w:val="006D0CE9"/>
    <w:rsid w:val="00704F87"/>
    <w:rsid w:val="00707D6B"/>
    <w:rsid w:val="0071421D"/>
    <w:rsid w:val="00722CA2"/>
    <w:rsid w:val="00727843"/>
    <w:rsid w:val="007B1527"/>
    <w:rsid w:val="007C2499"/>
    <w:rsid w:val="007D1308"/>
    <w:rsid w:val="00807BE2"/>
    <w:rsid w:val="00814750"/>
    <w:rsid w:val="00833D37"/>
    <w:rsid w:val="00836C3D"/>
    <w:rsid w:val="0084303B"/>
    <w:rsid w:val="00853A06"/>
    <w:rsid w:val="008D4117"/>
    <w:rsid w:val="00906786"/>
    <w:rsid w:val="00912824"/>
    <w:rsid w:val="00920734"/>
    <w:rsid w:val="00960B67"/>
    <w:rsid w:val="009633CC"/>
    <w:rsid w:val="00972E76"/>
    <w:rsid w:val="00A03EBD"/>
    <w:rsid w:val="00A355A5"/>
    <w:rsid w:val="00A42AB0"/>
    <w:rsid w:val="00A45D2D"/>
    <w:rsid w:val="00A56B78"/>
    <w:rsid w:val="00A71809"/>
    <w:rsid w:val="00A83817"/>
    <w:rsid w:val="00A87F74"/>
    <w:rsid w:val="00AA08EE"/>
    <w:rsid w:val="00AB290E"/>
    <w:rsid w:val="00AC542D"/>
    <w:rsid w:val="00AD09E8"/>
    <w:rsid w:val="00AE6A78"/>
    <w:rsid w:val="00B142AC"/>
    <w:rsid w:val="00B21B8A"/>
    <w:rsid w:val="00B40319"/>
    <w:rsid w:val="00B615E4"/>
    <w:rsid w:val="00C3722D"/>
    <w:rsid w:val="00C73F06"/>
    <w:rsid w:val="00C85F20"/>
    <w:rsid w:val="00CA1B34"/>
    <w:rsid w:val="00CB1FC6"/>
    <w:rsid w:val="00CB7EA5"/>
    <w:rsid w:val="00D2394B"/>
    <w:rsid w:val="00D436C8"/>
    <w:rsid w:val="00D44D64"/>
    <w:rsid w:val="00D558AC"/>
    <w:rsid w:val="00DA26B0"/>
    <w:rsid w:val="00DC73B1"/>
    <w:rsid w:val="00E320FB"/>
    <w:rsid w:val="00E40B59"/>
    <w:rsid w:val="00E42D4E"/>
    <w:rsid w:val="00E97D53"/>
    <w:rsid w:val="00EB1BFB"/>
    <w:rsid w:val="00EE1EDB"/>
    <w:rsid w:val="00F00AA7"/>
    <w:rsid w:val="00F06F9E"/>
    <w:rsid w:val="00F20A90"/>
    <w:rsid w:val="00F30D36"/>
    <w:rsid w:val="00F31535"/>
    <w:rsid w:val="00F75356"/>
    <w:rsid w:val="00F964E4"/>
    <w:rsid w:val="00FA2B02"/>
    <w:rsid w:val="00FD553A"/>
    <w:rsid w:val="00FE2AB4"/>
    <w:rsid w:val="01011432"/>
    <w:rsid w:val="01101675"/>
    <w:rsid w:val="01343A27"/>
    <w:rsid w:val="01384C4E"/>
    <w:rsid w:val="015C2B0C"/>
    <w:rsid w:val="016C3A28"/>
    <w:rsid w:val="018362EB"/>
    <w:rsid w:val="01AF5332"/>
    <w:rsid w:val="01BB7833"/>
    <w:rsid w:val="01C26E13"/>
    <w:rsid w:val="01CB232F"/>
    <w:rsid w:val="01CC1A40"/>
    <w:rsid w:val="01E74ACC"/>
    <w:rsid w:val="01F114A6"/>
    <w:rsid w:val="01F33470"/>
    <w:rsid w:val="01F36FCC"/>
    <w:rsid w:val="02186A33"/>
    <w:rsid w:val="021F6013"/>
    <w:rsid w:val="02293DD0"/>
    <w:rsid w:val="022B1F5D"/>
    <w:rsid w:val="024B31C2"/>
    <w:rsid w:val="02775E4F"/>
    <w:rsid w:val="02A02435"/>
    <w:rsid w:val="02A227A1"/>
    <w:rsid w:val="02AE7397"/>
    <w:rsid w:val="02D05560"/>
    <w:rsid w:val="02D65210"/>
    <w:rsid w:val="02E96621"/>
    <w:rsid w:val="02F15844"/>
    <w:rsid w:val="031418F0"/>
    <w:rsid w:val="033124A2"/>
    <w:rsid w:val="033B6E7D"/>
    <w:rsid w:val="034A289C"/>
    <w:rsid w:val="034E7FBB"/>
    <w:rsid w:val="034F44C5"/>
    <w:rsid w:val="03977E2B"/>
    <w:rsid w:val="03A34A22"/>
    <w:rsid w:val="03A569EC"/>
    <w:rsid w:val="03B86720"/>
    <w:rsid w:val="03BC7892"/>
    <w:rsid w:val="03D472D2"/>
    <w:rsid w:val="03E94043"/>
    <w:rsid w:val="04043713"/>
    <w:rsid w:val="04536448"/>
    <w:rsid w:val="04714B20"/>
    <w:rsid w:val="049D5915"/>
    <w:rsid w:val="04B769D7"/>
    <w:rsid w:val="04DC4690"/>
    <w:rsid w:val="04E13A54"/>
    <w:rsid w:val="04F03C97"/>
    <w:rsid w:val="051C683A"/>
    <w:rsid w:val="05297D3E"/>
    <w:rsid w:val="05432019"/>
    <w:rsid w:val="054F7787"/>
    <w:rsid w:val="05846DFE"/>
    <w:rsid w:val="05B050C1"/>
    <w:rsid w:val="05C72C4A"/>
    <w:rsid w:val="05CC0260"/>
    <w:rsid w:val="061B18EE"/>
    <w:rsid w:val="064249C6"/>
    <w:rsid w:val="064E0945"/>
    <w:rsid w:val="065B3392"/>
    <w:rsid w:val="0670613D"/>
    <w:rsid w:val="068B1EC9"/>
    <w:rsid w:val="06954AF6"/>
    <w:rsid w:val="06D46547"/>
    <w:rsid w:val="06E45A7E"/>
    <w:rsid w:val="06EE2458"/>
    <w:rsid w:val="06FA63FF"/>
    <w:rsid w:val="06FC2DC7"/>
    <w:rsid w:val="070A347B"/>
    <w:rsid w:val="070C28DE"/>
    <w:rsid w:val="07106873"/>
    <w:rsid w:val="071F0864"/>
    <w:rsid w:val="07241C47"/>
    <w:rsid w:val="07245E7A"/>
    <w:rsid w:val="072A7934"/>
    <w:rsid w:val="07372051"/>
    <w:rsid w:val="073C31C4"/>
    <w:rsid w:val="075270D3"/>
    <w:rsid w:val="07632E46"/>
    <w:rsid w:val="077B0190"/>
    <w:rsid w:val="078B414B"/>
    <w:rsid w:val="07B62F76"/>
    <w:rsid w:val="07D93108"/>
    <w:rsid w:val="07DC60DE"/>
    <w:rsid w:val="07F817E1"/>
    <w:rsid w:val="0815274A"/>
    <w:rsid w:val="081D7064"/>
    <w:rsid w:val="083E2F6B"/>
    <w:rsid w:val="08793FA4"/>
    <w:rsid w:val="089A4646"/>
    <w:rsid w:val="089D7C92"/>
    <w:rsid w:val="08A56468"/>
    <w:rsid w:val="08AA23AF"/>
    <w:rsid w:val="08C6368D"/>
    <w:rsid w:val="08E75DD5"/>
    <w:rsid w:val="090660ED"/>
    <w:rsid w:val="09120680"/>
    <w:rsid w:val="0932487E"/>
    <w:rsid w:val="09424CD0"/>
    <w:rsid w:val="09531D27"/>
    <w:rsid w:val="096A7936"/>
    <w:rsid w:val="09774987"/>
    <w:rsid w:val="09867888"/>
    <w:rsid w:val="09954E0D"/>
    <w:rsid w:val="0995562D"/>
    <w:rsid w:val="09A80FE4"/>
    <w:rsid w:val="09AD2157"/>
    <w:rsid w:val="09E85885"/>
    <w:rsid w:val="09FD77B7"/>
    <w:rsid w:val="0A02055D"/>
    <w:rsid w:val="0A0429D7"/>
    <w:rsid w:val="0A3B0D04"/>
    <w:rsid w:val="0A3B3C06"/>
    <w:rsid w:val="0A432ABB"/>
    <w:rsid w:val="0A670558"/>
    <w:rsid w:val="0A747118"/>
    <w:rsid w:val="0A8455AD"/>
    <w:rsid w:val="0A933931"/>
    <w:rsid w:val="0AAA360A"/>
    <w:rsid w:val="0ACE05D7"/>
    <w:rsid w:val="0AD35BED"/>
    <w:rsid w:val="0ADB6D8A"/>
    <w:rsid w:val="0AF12517"/>
    <w:rsid w:val="0AFA5870"/>
    <w:rsid w:val="0AFB3396"/>
    <w:rsid w:val="0AFF4C34"/>
    <w:rsid w:val="0B13607A"/>
    <w:rsid w:val="0B2823DD"/>
    <w:rsid w:val="0B372620"/>
    <w:rsid w:val="0B420FC5"/>
    <w:rsid w:val="0B512FB6"/>
    <w:rsid w:val="0B5C3E34"/>
    <w:rsid w:val="0B70168E"/>
    <w:rsid w:val="0B923CFA"/>
    <w:rsid w:val="0B9F6417"/>
    <w:rsid w:val="0BA47589"/>
    <w:rsid w:val="0BAA1044"/>
    <w:rsid w:val="0BDC5889"/>
    <w:rsid w:val="0BDD6D15"/>
    <w:rsid w:val="0C922BCF"/>
    <w:rsid w:val="0C943AA2"/>
    <w:rsid w:val="0C963376"/>
    <w:rsid w:val="0CAE6912"/>
    <w:rsid w:val="0CC57E71"/>
    <w:rsid w:val="0CCB59F8"/>
    <w:rsid w:val="0CD051A2"/>
    <w:rsid w:val="0CD604D8"/>
    <w:rsid w:val="0CE00A95"/>
    <w:rsid w:val="0CFA1B57"/>
    <w:rsid w:val="0D0E533C"/>
    <w:rsid w:val="0D1129FD"/>
    <w:rsid w:val="0D2B61B4"/>
    <w:rsid w:val="0D2E7A52"/>
    <w:rsid w:val="0D39086A"/>
    <w:rsid w:val="0D447276"/>
    <w:rsid w:val="0D461872"/>
    <w:rsid w:val="0D570E9F"/>
    <w:rsid w:val="0D705975"/>
    <w:rsid w:val="0D7116ED"/>
    <w:rsid w:val="0D7336B7"/>
    <w:rsid w:val="0D7731A8"/>
    <w:rsid w:val="0D896A37"/>
    <w:rsid w:val="0D8E04F1"/>
    <w:rsid w:val="0DB00467"/>
    <w:rsid w:val="0DC83A03"/>
    <w:rsid w:val="0DD27BC5"/>
    <w:rsid w:val="0DE40111"/>
    <w:rsid w:val="0E1704E7"/>
    <w:rsid w:val="0E3B2427"/>
    <w:rsid w:val="0E511C4A"/>
    <w:rsid w:val="0E576B35"/>
    <w:rsid w:val="0E686F94"/>
    <w:rsid w:val="0E6B438E"/>
    <w:rsid w:val="0E981627"/>
    <w:rsid w:val="0EB6385C"/>
    <w:rsid w:val="0EBC4BEA"/>
    <w:rsid w:val="0EC266A4"/>
    <w:rsid w:val="0EE54141"/>
    <w:rsid w:val="0EEA6CF0"/>
    <w:rsid w:val="0F2C1D70"/>
    <w:rsid w:val="0F2D693C"/>
    <w:rsid w:val="0F3155D8"/>
    <w:rsid w:val="0F557518"/>
    <w:rsid w:val="0F5B4403"/>
    <w:rsid w:val="0F851480"/>
    <w:rsid w:val="0F9E31C0"/>
    <w:rsid w:val="0FE443F8"/>
    <w:rsid w:val="0FF87EA4"/>
    <w:rsid w:val="0FFC5BE6"/>
    <w:rsid w:val="100F6B96"/>
    <w:rsid w:val="101F18D4"/>
    <w:rsid w:val="10321608"/>
    <w:rsid w:val="10394744"/>
    <w:rsid w:val="104A6951"/>
    <w:rsid w:val="10577D87"/>
    <w:rsid w:val="10675755"/>
    <w:rsid w:val="10A342B4"/>
    <w:rsid w:val="10A36062"/>
    <w:rsid w:val="10AB4F16"/>
    <w:rsid w:val="10AE719B"/>
    <w:rsid w:val="10DE353E"/>
    <w:rsid w:val="10E46C85"/>
    <w:rsid w:val="10F7015B"/>
    <w:rsid w:val="10FE598E"/>
    <w:rsid w:val="11034D52"/>
    <w:rsid w:val="110944C9"/>
    <w:rsid w:val="11447845"/>
    <w:rsid w:val="11455C77"/>
    <w:rsid w:val="11477335"/>
    <w:rsid w:val="114A67A6"/>
    <w:rsid w:val="119A3908"/>
    <w:rsid w:val="11A007F3"/>
    <w:rsid w:val="11A42EE3"/>
    <w:rsid w:val="11BA3663"/>
    <w:rsid w:val="11CE710E"/>
    <w:rsid w:val="11F0177A"/>
    <w:rsid w:val="12045226"/>
    <w:rsid w:val="121F5BBC"/>
    <w:rsid w:val="122B27B2"/>
    <w:rsid w:val="123D14BE"/>
    <w:rsid w:val="12483364"/>
    <w:rsid w:val="12661A3D"/>
    <w:rsid w:val="12687087"/>
    <w:rsid w:val="12706417"/>
    <w:rsid w:val="127139E6"/>
    <w:rsid w:val="12A762DD"/>
    <w:rsid w:val="12BE7183"/>
    <w:rsid w:val="12BF211A"/>
    <w:rsid w:val="12C14EC5"/>
    <w:rsid w:val="12DF0704"/>
    <w:rsid w:val="12E52401"/>
    <w:rsid w:val="130059ED"/>
    <w:rsid w:val="13097496"/>
    <w:rsid w:val="132F1E2E"/>
    <w:rsid w:val="13426006"/>
    <w:rsid w:val="135D2E40"/>
    <w:rsid w:val="1360648C"/>
    <w:rsid w:val="138008DC"/>
    <w:rsid w:val="138228A6"/>
    <w:rsid w:val="138D0E17"/>
    <w:rsid w:val="13960100"/>
    <w:rsid w:val="13AE71F7"/>
    <w:rsid w:val="13C319A0"/>
    <w:rsid w:val="13C46A1B"/>
    <w:rsid w:val="13CC3B21"/>
    <w:rsid w:val="13DB5B12"/>
    <w:rsid w:val="13DD7ADC"/>
    <w:rsid w:val="13ED0345"/>
    <w:rsid w:val="14184FB8"/>
    <w:rsid w:val="14246ABC"/>
    <w:rsid w:val="14270D58"/>
    <w:rsid w:val="1437543F"/>
    <w:rsid w:val="143A6CDD"/>
    <w:rsid w:val="14720225"/>
    <w:rsid w:val="147378BC"/>
    <w:rsid w:val="14991C55"/>
    <w:rsid w:val="14A979BF"/>
    <w:rsid w:val="14BC1DE8"/>
    <w:rsid w:val="14DB04C0"/>
    <w:rsid w:val="14DC762D"/>
    <w:rsid w:val="14EA24B1"/>
    <w:rsid w:val="14FE3A65"/>
    <w:rsid w:val="15063063"/>
    <w:rsid w:val="150C0679"/>
    <w:rsid w:val="15175270"/>
    <w:rsid w:val="15284368"/>
    <w:rsid w:val="15323E58"/>
    <w:rsid w:val="15437E13"/>
    <w:rsid w:val="155C5088"/>
    <w:rsid w:val="157B3CB9"/>
    <w:rsid w:val="158452DF"/>
    <w:rsid w:val="15AA38D8"/>
    <w:rsid w:val="15B64A89"/>
    <w:rsid w:val="15C56A7A"/>
    <w:rsid w:val="15C947BC"/>
    <w:rsid w:val="15D8055B"/>
    <w:rsid w:val="15EC4007"/>
    <w:rsid w:val="15FA2BC8"/>
    <w:rsid w:val="16041350"/>
    <w:rsid w:val="160457F4"/>
    <w:rsid w:val="160C46A9"/>
    <w:rsid w:val="16157673"/>
    <w:rsid w:val="165A3666"/>
    <w:rsid w:val="16612C47"/>
    <w:rsid w:val="1666025D"/>
    <w:rsid w:val="16742A45"/>
    <w:rsid w:val="1676167E"/>
    <w:rsid w:val="16B234A2"/>
    <w:rsid w:val="16B32D77"/>
    <w:rsid w:val="16C64858"/>
    <w:rsid w:val="16DE1BA1"/>
    <w:rsid w:val="16E86EC4"/>
    <w:rsid w:val="16F70A4E"/>
    <w:rsid w:val="17367C2F"/>
    <w:rsid w:val="173739A8"/>
    <w:rsid w:val="17490DE4"/>
    <w:rsid w:val="175005C5"/>
    <w:rsid w:val="17586E0F"/>
    <w:rsid w:val="17822E75"/>
    <w:rsid w:val="17824C23"/>
    <w:rsid w:val="178564C1"/>
    <w:rsid w:val="17A76437"/>
    <w:rsid w:val="17EC6540"/>
    <w:rsid w:val="17EE4066"/>
    <w:rsid w:val="17F3167D"/>
    <w:rsid w:val="1824217E"/>
    <w:rsid w:val="18243F2C"/>
    <w:rsid w:val="182B2071"/>
    <w:rsid w:val="182B350C"/>
    <w:rsid w:val="182F467F"/>
    <w:rsid w:val="18532F92"/>
    <w:rsid w:val="185C1918"/>
    <w:rsid w:val="186B3909"/>
    <w:rsid w:val="18806EAA"/>
    <w:rsid w:val="188B3FAB"/>
    <w:rsid w:val="18A1732B"/>
    <w:rsid w:val="18A8690B"/>
    <w:rsid w:val="18C94AD3"/>
    <w:rsid w:val="18CB546D"/>
    <w:rsid w:val="18E11E1D"/>
    <w:rsid w:val="19095529"/>
    <w:rsid w:val="1941466A"/>
    <w:rsid w:val="195919B3"/>
    <w:rsid w:val="19690451"/>
    <w:rsid w:val="19836A30"/>
    <w:rsid w:val="19B74DF7"/>
    <w:rsid w:val="19C70CA2"/>
    <w:rsid w:val="19C84D8B"/>
    <w:rsid w:val="19E7087A"/>
    <w:rsid w:val="19EF2318"/>
    <w:rsid w:val="19F45B80"/>
    <w:rsid w:val="1A134258"/>
    <w:rsid w:val="1A246629"/>
    <w:rsid w:val="1A291745"/>
    <w:rsid w:val="1A304E0A"/>
    <w:rsid w:val="1A3D3083"/>
    <w:rsid w:val="1A516B2E"/>
    <w:rsid w:val="1A584361"/>
    <w:rsid w:val="1A736AA5"/>
    <w:rsid w:val="1A7635CD"/>
    <w:rsid w:val="1A9B5FFB"/>
    <w:rsid w:val="1AA44EB0"/>
    <w:rsid w:val="1AA749A0"/>
    <w:rsid w:val="1AAE3C67"/>
    <w:rsid w:val="1ACB68E1"/>
    <w:rsid w:val="1B180F2F"/>
    <w:rsid w:val="1B222279"/>
    <w:rsid w:val="1B3112B4"/>
    <w:rsid w:val="1B3E5305"/>
    <w:rsid w:val="1B414DF5"/>
    <w:rsid w:val="1B4B5B5B"/>
    <w:rsid w:val="1B4E2BFB"/>
    <w:rsid w:val="1B617245"/>
    <w:rsid w:val="1B661CD8"/>
    <w:rsid w:val="1B8847D2"/>
    <w:rsid w:val="1B9B4505"/>
    <w:rsid w:val="1B9F61CC"/>
    <w:rsid w:val="1BB05AD7"/>
    <w:rsid w:val="1BB124F2"/>
    <w:rsid w:val="1BE0016A"/>
    <w:rsid w:val="1BF65BDF"/>
    <w:rsid w:val="1C0F4EF3"/>
    <w:rsid w:val="1C1442B7"/>
    <w:rsid w:val="1C4D77BF"/>
    <w:rsid w:val="1C7B7E93"/>
    <w:rsid w:val="1C827473"/>
    <w:rsid w:val="1CB57D6B"/>
    <w:rsid w:val="1CCA59EB"/>
    <w:rsid w:val="1CCE26B8"/>
    <w:rsid w:val="1CD81789"/>
    <w:rsid w:val="1D3E783E"/>
    <w:rsid w:val="1D507571"/>
    <w:rsid w:val="1D657B9B"/>
    <w:rsid w:val="1D7019C1"/>
    <w:rsid w:val="1D796AC8"/>
    <w:rsid w:val="1D976F4E"/>
    <w:rsid w:val="1D9A259A"/>
    <w:rsid w:val="1DA82F09"/>
    <w:rsid w:val="1DB775F0"/>
    <w:rsid w:val="1DBC4C07"/>
    <w:rsid w:val="1DC1221D"/>
    <w:rsid w:val="1DCD1A65"/>
    <w:rsid w:val="1DCE1F17"/>
    <w:rsid w:val="1DD97567"/>
    <w:rsid w:val="1DDB508D"/>
    <w:rsid w:val="1DE026A3"/>
    <w:rsid w:val="1E0C793C"/>
    <w:rsid w:val="1E3B1FCF"/>
    <w:rsid w:val="1E407A47"/>
    <w:rsid w:val="1E696B3C"/>
    <w:rsid w:val="1E6D7CAF"/>
    <w:rsid w:val="1E8474D2"/>
    <w:rsid w:val="1E8D2AA5"/>
    <w:rsid w:val="1EBD1EBC"/>
    <w:rsid w:val="1F122D30"/>
    <w:rsid w:val="1F176598"/>
    <w:rsid w:val="1F2760B0"/>
    <w:rsid w:val="1F330EF8"/>
    <w:rsid w:val="1F332CA6"/>
    <w:rsid w:val="1F422EEA"/>
    <w:rsid w:val="1F515ABC"/>
    <w:rsid w:val="1F642E60"/>
    <w:rsid w:val="1F7F5EEC"/>
    <w:rsid w:val="1F841754"/>
    <w:rsid w:val="1F8452B0"/>
    <w:rsid w:val="1F896D6A"/>
    <w:rsid w:val="1F8F25D3"/>
    <w:rsid w:val="1F971487"/>
    <w:rsid w:val="1FA94D17"/>
    <w:rsid w:val="200308CB"/>
    <w:rsid w:val="200D447D"/>
    <w:rsid w:val="201A79C2"/>
    <w:rsid w:val="201B5C14"/>
    <w:rsid w:val="20442F2D"/>
    <w:rsid w:val="20601879"/>
    <w:rsid w:val="206550E2"/>
    <w:rsid w:val="206A6B9C"/>
    <w:rsid w:val="2076109D"/>
    <w:rsid w:val="20803CC9"/>
    <w:rsid w:val="20826B65"/>
    <w:rsid w:val="208F03B0"/>
    <w:rsid w:val="20B120D5"/>
    <w:rsid w:val="20D12777"/>
    <w:rsid w:val="20D14525"/>
    <w:rsid w:val="20E92D0F"/>
    <w:rsid w:val="20EB1A8B"/>
    <w:rsid w:val="211A5ECC"/>
    <w:rsid w:val="21221981"/>
    <w:rsid w:val="215D2E82"/>
    <w:rsid w:val="216D06F2"/>
    <w:rsid w:val="216E32C3"/>
    <w:rsid w:val="2186530F"/>
    <w:rsid w:val="218B0B78"/>
    <w:rsid w:val="218F58C6"/>
    <w:rsid w:val="21AA3B6E"/>
    <w:rsid w:val="21B24356"/>
    <w:rsid w:val="21D06ED2"/>
    <w:rsid w:val="21D20555"/>
    <w:rsid w:val="21E87D78"/>
    <w:rsid w:val="21FE759C"/>
    <w:rsid w:val="22230DB0"/>
    <w:rsid w:val="22525B39"/>
    <w:rsid w:val="22574059"/>
    <w:rsid w:val="22711B28"/>
    <w:rsid w:val="227E0C54"/>
    <w:rsid w:val="22926998"/>
    <w:rsid w:val="22BA5BB9"/>
    <w:rsid w:val="22BB723B"/>
    <w:rsid w:val="22F93932"/>
    <w:rsid w:val="23040BE2"/>
    <w:rsid w:val="231B417D"/>
    <w:rsid w:val="2322550C"/>
    <w:rsid w:val="232A43C0"/>
    <w:rsid w:val="233C481F"/>
    <w:rsid w:val="23566F63"/>
    <w:rsid w:val="235A4CA6"/>
    <w:rsid w:val="23867849"/>
    <w:rsid w:val="239E6AAF"/>
    <w:rsid w:val="23B00D6A"/>
    <w:rsid w:val="23C10881"/>
    <w:rsid w:val="23CD191B"/>
    <w:rsid w:val="23EB1DA2"/>
    <w:rsid w:val="23FE1AD5"/>
    <w:rsid w:val="24101808"/>
    <w:rsid w:val="242B4894"/>
    <w:rsid w:val="243725FE"/>
    <w:rsid w:val="2455546D"/>
    <w:rsid w:val="24612064"/>
    <w:rsid w:val="246B4C91"/>
    <w:rsid w:val="248A3369"/>
    <w:rsid w:val="249C309C"/>
    <w:rsid w:val="249C4E4A"/>
    <w:rsid w:val="24B46637"/>
    <w:rsid w:val="24D12D46"/>
    <w:rsid w:val="24DB0068"/>
    <w:rsid w:val="24EF5440"/>
    <w:rsid w:val="24FB4266"/>
    <w:rsid w:val="251315B0"/>
    <w:rsid w:val="252437BD"/>
    <w:rsid w:val="253B6D59"/>
    <w:rsid w:val="25503C57"/>
    <w:rsid w:val="25545725"/>
    <w:rsid w:val="257F27A2"/>
    <w:rsid w:val="25914C5E"/>
    <w:rsid w:val="259F4BF2"/>
    <w:rsid w:val="25B07BC9"/>
    <w:rsid w:val="25BF7042"/>
    <w:rsid w:val="25C4028A"/>
    <w:rsid w:val="25C805EC"/>
    <w:rsid w:val="25C96113"/>
    <w:rsid w:val="25EA20F8"/>
    <w:rsid w:val="25F72C80"/>
    <w:rsid w:val="26151358"/>
    <w:rsid w:val="2623042D"/>
    <w:rsid w:val="26437C73"/>
    <w:rsid w:val="26543C2E"/>
    <w:rsid w:val="26A2658A"/>
    <w:rsid w:val="26AD333E"/>
    <w:rsid w:val="26CD677A"/>
    <w:rsid w:val="26E56F7C"/>
    <w:rsid w:val="271138CD"/>
    <w:rsid w:val="27165175"/>
    <w:rsid w:val="27223D2C"/>
    <w:rsid w:val="272730F1"/>
    <w:rsid w:val="274912B9"/>
    <w:rsid w:val="275E5755"/>
    <w:rsid w:val="27895B59"/>
    <w:rsid w:val="27BA5D13"/>
    <w:rsid w:val="27C47915"/>
    <w:rsid w:val="27D52B4D"/>
    <w:rsid w:val="27D56FF1"/>
    <w:rsid w:val="27DA0163"/>
    <w:rsid w:val="27FC632B"/>
    <w:rsid w:val="28285372"/>
    <w:rsid w:val="28414686"/>
    <w:rsid w:val="284167DA"/>
    <w:rsid w:val="2858552C"/>
    <w:rsid w:val="28664162"/>
    <w:rsid w:val="286B34B1"/>
    <w:rsid w:val="28885E11"/>
    <w:rsid w:val="289742A6"/>
    <w:rsid w:val="28E514B5"/>
    <w:rsid w:val="28E60D8A"/>
    <w:rsid w:val="29023E15"/>
    <w:rsid w:val="29226F4B"/>
    <w:rsid w:val="292A6EC8"/>
    <w:rsid w:val="292C49EE"/>
    <w:rsid w:val="292D0766"/>
    <w:rsid w:val="293E0BC6"/>
    <w:rsid w:val="29695C42"/>
    <w:rsid w:val="296A19BB"/>
    <w:rsid w:val="29741CCD"/>
    <w:rsid w:val="298F4F7D"/>
    <w:rsid w:val="29AC3D81"/>
    <w:rsid w:val="29B82726"/>
    <w:rsid w:val="29C235A5"/>
    <w:rsid w:val="29C27101"/>
    <w:rsid w:val="29E13966"/>
    <w:rsid w:val="29E51041"/>
    <w:rsid w:val="2A0E67EA"/>
    <w:rsid w:val="2A102562"/>
    <w:rsid w:val="2A1C0F07"/>
    <w:rsid w:val="2A2B14C3"/>
    <w:rsid w:val="2A2B739C"/>
    <w:rsid w:val="2A535B4F"/>
    <w:rsid w:val="2A5C4DF3"/>
    <w:rsid w:val="2A612DBE"/>
    <w:rsid w:val="2ABD0D65"/>
    <w:rsid w:val="2ACA60AB"/>
    <w:rsid w:val="2ACF41CB"/>
    <w:rsid w:val="2AD4533E"/>
    <w:rsid w:val="2AD6555A"/>
    <w:rsid w:val="2B141BDE"/>
    <w:rsid w:val="2B2067D5"/>
    <w:rsid w:val="2BA416FC"/>
    <w:rsid w:val="2BAD7C9E"/>
    <w:rsid w:val="2BC2163A"/>
    <w:rsid w:val="2BD33847"/>
    <w:rsid w:val="2BE45A54"/>
    <w:rsid w:val="2C091017"/>
    <w:rsid w:val="2C185954"/>
    <w:rsid w:val="2C2C73FB"/>
    <w:rsid w:val="2C3C763E"/>
    <w:rsid w:val="2C583D4C"/>
    <w:rsid w:val="2C5A5D16"/>
    <w:rsid w:val="2C7072E8"/>
    <w:rsid w:val="2C8114F5"/>
    <w:rsid w:val="2C842D93"/>
    <w:rsid w:val="2CAB7FFD"/>
    <w:rsid w:val="2CB01DDA"/>
    <w:rsid w:val="2CB573F1"/>
    <w:rsid w:val="2CCD4F40"/>
    <w:rsid w:val="2CF63C91"/>
    <w:rsid w:val="2D0D0FDB"/>
    <w:rsid w:val="2D0D2D89"/>
    <w:rsid w:val="2D271EF1"/>
    <w:rsid w:val="2D314CC9"/>
    <w:rsid w:val="2D4331C7"/>
    <w:rsid w:val="2D514FA2"/>
    <w:rsid w:val="2D783E4F"/>
    <w:rsid w:val="2D8017AD"/>
    <w:rsid w:val="2D8868B3"/>
    <w:rsid w:val="2D8F19F0"/>
    <w:rsid w:val="2D99286E"/>
    <w:rsid w:val="2D9E6E53"/>
    <w:rsid w:val="2DA059AB"/>
    <w:rsid w:val="2DD35D80"/>
    <w:rsid w:val="2DE03FF9"/>
    <w:rsid w:val="2DE82D56"/>
    <w:rsid w:val="2E0423DE"/>
    <w:rsid w:val="2E0917A2"/>
    <w:rsid w:val="2E0B376C"/>
    <w:rsid w:val="2E125CCA"/>
    <w:rsid w:val="2E1F0FC6"/>
    <w:rsid w:val="2E383E35"/>
    <w:rsid w:val="2E586286"/>
    <w:rsid w:val="2EB37960"/>
    <w:rsid w:val="2EF04710"/>
    <w:rsid w:val="2EFF2BA5"/>
    <w:rsid w:val="2F007E98"/>
    <w:rsid w:val="2F407445"/>
    <w:rsid w:val="2F492B8D"/>
    <w:rsid w:val="2F4D56BE"/>
    <w:rsid w:val="2F756F7B"/>
    <w:rsid w:val="2FAC6889"/>
    <w:rsid w:val="2FAD0853"/>
    <w:rsid w:val="2FAD2601"/>
    <w:rsid w:val="2FAF45CB"/>
    <w:rsid w:val="2FBD0A96"/>
    <w:rsid w:val="2FC11C09"/>
    <w:rsid w:val="2FC932A5"/>
    <w:rsid w:val="2FDB0F1C"/>
    <w:rsid w:val="2FE04785"/>
    <w:rsid w:val="301937F3"/>
    <w:rsid w:val="30442F65"/>
    <w:rsid w:val="304E7940"/>
    <w:rsid w:val="304F1512"/>
    <w:rsid w:val="307B63EC"/>
    <w:rsid w:val="30847806"/>
    <w:rsid w:val="30C419B0"/>
    <w:rsid w:val="30C558E1"/>
    <w:rsid w:val="30C776F3"/>
    <w:rsid w:val="30E20088"/>
    <w:rsid w:val="30FD3114"/>
    <w:rsid w:val="30FF6E8C"/>
    <w:rsid w:val="31097D0B"/>
    <w:rsid w:val="311E5564"/>
    <w:rsid w:val="31556AAC"/>
    <w:rsid w:val="316A69FC"/>
    <w:rsid w:val="319475D5"/>
    <w:rsid w:val="319E66A5"/>
    <w:rsid w:val="31BE4652"/>
    <w:rsid w:val="31D43E75"/>
    <w:rsid w:val="31D9481A"/>
    <w:rsid w:val="31DB27A5"/>
    <w:rsid w:val="31DB68B8"/>
    <w:rsid w:val="31E340B8"/>
    <w:rsid w:val="31F2079F"/>
    <w:rsid w:val="31F6028F"/>
    <w:rsid w:val="31F63CC9"/>
    <w:rsid w:val="32186458"/>
    <w:rsid w:val="32193F7E"/>
    <w:rsid w:val="323B36A0"/>
    <w:rsid w:val="32427031"/>
    <w:rsid w:val="32537490"/>
    <w:rsid w:val="325B4596"/>
    <w:rsid w:val="32713DBA"/>
    <w:rsid w:val="32755658"/>
    <w:rsid w:val="3287538B"/>
    <w:rsid w:val="329655CE"/>
    <w:rsid w:val="32B0374D"/>
    <w:rsid w:val="32B36180"/>
    <w:rsid w:val="32CE2FBA"/>
    <w:rsid w:val="32F56799"/>
    <w:rsid w:val="32F7059A"/>
    <w:rsid w:val="330B38C7"/>
    <w:rsid w:val="33114C55"/>
    <w:rsid w:val="33282772"/>
    <w:rsid w:val="334868C9"/>
    <w:rsid w:val="334A2548"/>
    <w:rsid w:val="334B460B"/>
    <w:rsid w:val="335F00B6"/>
    <w:rsid w:val="336E7970"/>
    <w:rsid w:val="33753436"/>
    <w:rsid w:val="33945FB2"/>
    <w:rsid w:val="339A4C4A"/>
    <w:rsid w:val="33A361F5"/>
    <w:rsid w:val="33AA1331"/>
    <w:rsid w:val="33DC34B5"/>
    <w:rsid w:val="33DD1D36"/>
    <w:rsid w:val="33F26834"/>
    <w:rsid w:val="340B78F6"/>
    <w:rsid w:val="34390907"/>
    <w:rsid w:val="343926B5"/>
    <w:rsid w:val="34403A44"/>
    <w:rsid w:val="344F012B"/>
    <w:rsid w:val="346C2A8B"/>
    <w:rsid w:val="34930017"/>
    <w:rsid w:val="34951FE2"/>
    <w:rsid w:val="34A22009"/>
    <w:rsid w:val="34A55F9D"/>
    <w:rsid w:val="34D04DC8"/>
    <w:rsid w:val="34D4596E"/>
    <w:rsid w:val="34DF2AA8"/>
    <w:rsid w:val="34E15227"/>
    <w:rsid w:val="34F62354"/>
    <w:rsid w:val="35071D68"/>
    <w:rsid w:val="350727B3"/>
    <w:rsid w:val="35246EC1"/>
    <w:rsid w:val="352D221A"/>
    <w:rsid w:val="35460989"/>
    <w:rsid w:val="354E3F3E"/>
    <w:rsid w:val="355377A7"/>
    <w:rsid w:val="355C2AFF"/>
    <w:rsid w:val="356E2833"/>
    <w:rsid w:val="35731BF7"/>
    <w:rsid w:val="3578720D"/>
    <w:rsid w:val="35A85C98"/>
    <w:rsid w:val="35AD335B"/>
    <w:rsid w:val="35B50461"/>
    <w:rsid w:val="35C44201"/>
    <w:rsid w:val="35D12DAA"/>
    <w:rsid w:val="35D94150"/>
    <w:rsid w:val="35E6061B"/>
    <w:rsid w:val="35ED7725"/>
    <w:rsid w:val="35EF3357"/>
    <w:rsid w:val="36050AA1"/>
    <w:rsid w:val="36172963"/>
    <w:rsid w:val="36513CE6"/>
    <w:rsid w:val="36525CB0"/>
    <w:rsid w:val="36533F02"/>
    <w:rsid w:val="36617CA1"/>
    <w:rsid w:val="36637EBD"/>
    <w:rsid w:val="366D6646"/>
    <w:rsid w:val="369D33CF"/>
    <w:rsid w:val="369F1500"/>
    <w:rsid w:val="36AA5AEC"/>
    <w:rsid w:val="36BE70BA"/>
    <w:rsid w:val="36C02C1A"/>
    <w:rsid w:val="36DB3EF8"/>
    <w:rsid w:val="36E96615"/>
    <w:rsid w:val="36FB54FB"/>
    <w:rsid w:val="3709636F"/>
    <w:rsid w:val="371C0798"/>
    <w:rsid w:val="37744513"/>
    <w:rsid w:val="377F2AD5"/>
    <w:rsid w:val="37A4253C"/>
    <w:rsid w:val="37AC319E"/>
    <w:rsid w:val="37D90437"/>
    <w:rsid w:val="37DE3C9F"/>
    <w:rsid w:val="37E868CC"/>
    <w:rsid w:val="37F60FE9"/>
    <w:rsid w:val="38261F51"/>
    <w:rsid w:val="384358B1"/>
    <w:rsid w:val="385201EA"/>
    <w:rsid w:val="38563836"/>
    <w:rsid w:val="3885236D"/>
    <w:rsid w:val="3891486E"/>
    <w:rsid w:val="38966328"/>
    <w:rsid w:val="38A40C09"/>
    <w:rsid w:val="38B650D1"/>
    <w:rsid w:val="38B8282E"/>
    <w:rsid w:val="38BF4ED7"/>
    <w:rsid w:val="38CC3672"/>
    <w:rsid w:val="38CC7412"/>
    <w:rsid w:val="38D64977"/>
    <w:rsid w:val="38D9365F"/>
    <w:rsid w:val="38FF3ECD"/>
    <w:rsid w:val="392C4597"/>
    <w:rsid w:val="3938118D"/>
    <w:rsid w:val="397B72CC"/>
    <w:rsid w:val="39934616"/>
    <w:rsid w:val="3995213C"/>
    <w:rsid w:val="399A59A4"/>
    <w:rsid w:val="39E94A8C"/>
    <w:rsid w:val="39FA28E7"/>
    <w:rsid w:val="3A0177D1"/>
    <w:rsid w:val="3A0B68A2"/>
    <w:rsid w:val="3A1C285D"/>
    <w:rsid w:val="3A1F5EA9"/>
    <w:rsid w:val="3A2636DC"/>
    <w:rsid w:val="3A42496F"/>
    <w:rsid w:val="3A4678DA"/>
    <w:rsid w:val="3A5D6A1D"/>
    <w:rsid w:val="3A6366DE"/>
    <w:rsid w:val="3A744447"/>
    <w:rsid w:val="3A95616C"/>
    <w:rsid w:val="3AAB60A0"/>
    <w:rsid w:val="3AB42A96"/>
    <w:rsid w:val="3ADE7B13"/>
    <w:rsid w:val="3AE315CD"/>
    <w:rsid w:val="3AE55345"/>
    <w:rsid w:val="3AE6294C"/>
    <w:rsid w:val="3AEC222F"/>
    <w:rsid w:val="3AEF1D20"/>
    <w:rsid w:val="3AF456D0"/>
    <w:rsid w:val="3AF47336"/>
    <w:rsid w:val="3AFC0CAA"/>
    <w:rsid w:val="3B0A0908"/>
    <w:rsid w:val="3B133C60"/>
    <w:rsid w:val="3B1D063B"/>
    <w:rsid w:val="3B457B92"/>
    <w:rsid w:val="3B61576B"/>
    <w:rsid w:val="3B653D90"/>
    <w:rsid w:val="3B6C511E"/>
    <w:rsid w:val="3B96663F"/>
    <w:rsid w:val="3B9D352A"/>
    <w:rsid w:val="3BB675C7"/>
    <w:rsid w:val="3BC1190E"/>
    <w:rsid w:val="3BC944D9"/>
    <w:rsid w:val="3BD77A63"/>
    <w:rsid w:val="3BD86C58"/>
    <w:rsid w:val="3C025A83"/>
    <w:rsid w:val="3C120F87"/>
    <w:rsid w:val="3C2E02D5"/>
    <w:rsid w:val="3C3B0CE5"/>
    <w:rsid w:val="3C49532D"/>
    <w:rsid w:val="3C5B6745"/>
    <w:rsid w:val="3C5F6A31"/>
    <w:rsid w:val="3C720E5A"/>
    <w:rsid w:val="3C991F43"/>
    <w:rsid w:val="3CB054DF"/>
    <w:rsid w:val="3CC80A7A"/>
    <w:rsid w:val="3CCA755D"/>
    <w:rsid w:val="3CCD7E3F"/>
    <w:rsid w:val="3CD76F0F"/>
    <w:rsid w:val="3CFC417A"/>
    <w:rsid w:val="3D037D04"/>
    <w:rsid w:val="3D053A7C"/>
    <w:rsid w:val="3D0A4BEF"/>
    <w:rsid w:val="3D0D2931"/>
    <w:rsid w:val="3D112421"/>
    <w:rsid w:val="3D2832C7"/>
    <w:rsid w:val="3D3012A2"/>
    <w:rsid w:val="3D583BAC"/>
    <w:rsid w:val="3D803103"/>
    <w:rsid w:val="3D85696B"/>
    <w:rsid w:val="3D891FB8"/>
    <w:rsid w:val="3D915310"/>
    <w:rsid w:val="3DA17C40"/>
    <w:rsid w:val="3DEC0798"/>
    <w:rsid w:val="3E0B79DA"/>
    <w:rsid w:val="3E383766"/>
    <w:rsid w:val="3E4B54BF"/>
    <w:rsid w:val="3E55633E"/>
    <w:rsid w:val="3E691DE9"/>
    <w:rsid w:val="3EA008B3"/>
    <w:rsid w:val="3EB219E2"/>
    <w:rsid w:val="3EB92D70"/>
    <w:rsid w:val="3EB94B1E"/>
    <w:rsid w:val="3EC11C25"/>
    <w:rsid w:val="3ED96F6F"/>
    <w:rsid w:val="3EE619FE"/>
    <w:rsid w:val="3EE651E8"/>
    <w:rsid w:val="3EFB1AD8"/>
    <w:rsid w:val="3F051B12"/>
    <w:rsid w:val="3F10212B"/>
    <w:rsid w:val="3F19736B"/>
    <w:rsid w:val="3F255D10"/>
    <w:rsid w:val="3F2D7C01"/>
    <w:rsid w:val="3F2F4DE1"/>
    <w:rsid w:val="3F632CDC"/>
    <w:rsid w:val="3F656A54"/>
    <w:rsid w:val="3F7647BE"/>
    <w:rsid w:val="3FA27361"/>
    <w:rsid w:val="3FE45BCB"/>
    <w:rsid w:val="3FF1653A"/>
    <w:rsid w:val="4012098A"/>
    <w:rsid w:val="402406BD"/>
    <w:rsid w:val="40356427"/>
    <w:rsid w:val="40616336"/>
    <w:rsid w:val="406960D0"/>
    <w:rsid w:val="407D76FC"/>
    <w:rsid w:val="409F2538"/>
    <w:rsid w:val="409F5F96"/>
    <w:rsid w:val="40AA0BC3"/>
    <w:rsid w:val="40BC3350"/>
    <w:rsid w:val="40E02836"/>
    <w:rsid w:val="40ED4F53"/>
    <w:rsid w:val="40EE65D6"/>
    <w:rsid w:val="40F3031D"/>
    <w:rsid w:val="41016309"/>
    <w:rsid w:val="413034BD"/>
    <w:rsid w:val="41344930"/>
    <w:rsid w:val="4142704D"/>
    <w:rsid w:val="41463F2F"/>
    <w:rsid w:val="4148218A"/>
    <w:rsid w:val="415015B9"/>
    <w:rsid w:val="41514743"/>
    <w:rsid w:val="41856F3A"/>
    <w:rsid w:val="41866D6B"/>
    <w:rsid w:val="418A09F4"/>
    <w:rsid w:val="41C37A62"/>
    <w:rsid w:val="41CC4B69"/>
    <w:rsid w:val="41CF6407"/>
    <w:rsid w:val="41E40104"/>
    <w:rsid w:val="41F1637D"/>
    <w:rsid w:val="42097B6B"/>
    <w:rsid w:val="421D53C4"/>
    <w:rsid w:val="42376337"/>
    <w:rsid w:val="425012F6"/>
    <w:rsid w:val="42586F49"/>
    <w:rsid w:val="42770F78"/>
    <w:rsid w:val="427D5E63"/>
    <w:rsid w:val="42A427D8"/>
    <w:rsid w:val="42B555FD"/>
    <w:rsid w:val="42BF4815"/>
    <w:rsid w:val="42CB4E20"/>
    <w:rsid w:val="42D04AD3"/>
    <w:rsid w:val="42D9753D"/>
    <w:rsid w:val="430B346F"/>
    <w:rsid w:val="432023E4"/>
    <w:rsid w:val="43230923"/>
    <w:rsid w:val="434626F9"/>
    <w:rsid w:val="43482915"/>
    <w:rsid w:val="437234EE"/>
    <w:rsid w:val="438F40A0"/>
    <w:rsid w:val="4396542E"/>
    <w:rsid w:val="439B0C97"/>
    <w:rsid w:val="439E2535"/>
    <w:rsid w:val="43A22025"/>
    <w:rsid w:val="43AB7B36"/>
    <w:rsid w:val="43B14016"/>
    <w:rsid w:val="43BB1534"/>
    <w:rsid w:val="44056110"/>
    <w:rsid w:val="444A6527"/>
    <w:rsid w:val="446024DE"/>
    <w:rsid w:val="44613C8E"/>
    <w:rsid w:val="4469669F"/>
    <w:rsid w:val="44A030AA"/>
    <w:rsid w:val="44A75419"/>
    <w:rsid w:val="44B00772"/>
    <w:rsid w:val="44D73F50"/>
    <w:rsid w:val="44F87A23"/>
    <w:rsid w:val="45192167"/>
    <w:rsid w:val="45342396"/>
    <w:rsid w:val="45513D03"/>
    <w:rsid w:val="4565155C"/>
    <w:rsid w:val="456F4189"/>
    <w:rsid w:val="45965BB9"/>
    <w:rsid w:val="45991206"/>
    <w:rsid w:val="45A23BB8"/>
    <w:rsid w:val="45A57DA4"/>
    <w:rsid w:val="45C53DA9"/>
    <w:rsid w:val="45CA7611"/>
    <w:rsid w:val="45D109A0"/>
    <w:rsid w:val="45E06E35"/>
    <w:rsid w:val="46080139"/>
    <w:rsid w:val="460C7C2A"/>
    <w:rsid w:val="464B69A4"/>
    <w:rsid w:val="46535859"/>
    <w:rsid w:val="4654512D"/>
    <w:rsid w:val="4678706D"/>
    <w:rsid w:val="47094169"/>
    <w:rsid w:val="472114B3"/>
    <w:rsid w:val="47833F1C"/>
    <w:rsid w:val="47863A0C"/>
    <w:rsid w:val="4799373F"/>
    <w:rsid w:val="47A520E4"/>
    <w:rsid w:val="47CA56A6"/>
    <w:rsid w:val="47F95BF5"/>
    <w:rsid w:val="480F755D"/>
    <w:rsid w:val="48117779"/>
    <w:rsid w:val="481334F1"/>
    <w:rsid w:val="4820176A"/>
    <w:rsid w:val="4832149E"/>
    <w:rsid w:val="483E7E42"/>
    <w:rsid w:val="484336AB"/>
    <w:rsid w:val="48653621"/>
    <w:rsid w:val="48735D3E"/>
    <w:rsid w:val="48757D08"/>
    <w:rsid w:val="488066AD"/>
    <w:rsid w:val="48855A71"/>
    <w:rsid w:val="48B56357"/>
    <w:rsid w:val="48C60673"/>
    <w:rsid w:val="48C7608A"/>
    <w:rsid w:val="48D10CB7"/>
    <w:rsid w:val="48D83DF3"/>
    <w:rsid w:val="48E24C72"/>
    <w:rsid w:val="48E64762"/>
    <w:rsid w:val="49282FCC"/>
    <w:rsid w:val="4929464F"/>
    <w:rsid w:val="492B486B"/>
    <w:rsid w:val="495518E8"/>
    <w:rsid w:val="49557B3A"/>
    <w:rsid w:val="495D254A"/>
    <w:rsid w:val="496159F9"/>
    <w:rsid w:val="49793828"/>
    <w:rsid w:val="49B74AE3"/>
    <w:rsid w:val="49C34AA3"/>
    <w:rsid w:val="49E35145"/>
    <w:rsid w:val="4A0F1A96"/>
    <w:rsid w:val="4A1672C9"/>
    <w:rsid w:val="4A17094B"/>
    <w:rsid w:val="4A1E1CDA"/>
    <w:rsid w:val="4A301A0D"/>
    <w:rsid w:val="4A421E6C"/>
    <w:rsid w:val="4A471230"/>
    <w:rsid w:val="4A6022F2"/>
    <w:rsid w:val="4A657908"/>
    <w:rsid w:val="4A690F84"/>
    <w:rsid w:val="4A6E2C61"/>
    <w:rsid w:val="4A7638C4"/>
    <w:rsid w:val="4A7F4E6E"/>
    <w:rsid w:val="4A9E3BEF"/>
    <w:rsid w:val="4AA246B9"/>
    <w:rsid w:val="4AA7061D"/>
    <w:rsid w:val="4AB10DA0"/>
    <w:rsid w:val="4AC76815"/>
    <w:rsid w:val="4AE051E1"/>
    <w:rsid w:val="4AEB2504"/>
    <w:rsid w:val="4AF62C56"/>
    <w:rsid w:val="4B187071"/>
    <w:rsid w:val="4B313C8F"/>
    <w:rsid w:val="4B517E8D"/>
    <w:rsid w:val="4B5D6832"/>
    <w:rsid w:val="4B7E5126"/>
    <w:rsid w:val="4B8169C4"/>
    <w:rsid w:val="4B842010"/>
    <w:rsid w:val="4BA6467C"/>
    <w:rsid w:val="4BB369A3"/>
    <w:rsid w:val="4BCD7E5B"/>
    <w:rsid w:val="4BD05255"/>
    <w:rsid w:val="4BD9235C"/>
    <w:rsid w:val="4BE331DB"/>
    <w:rsid w:val="4BEE4070"/>
    <w:rsid w:val="4BF52F0E"/>
    <w:rsid w:val="4C017B05"/>
    <w:rsid w:val="4C0513A3"/>
    <w:rsid w:val="4C0D2006"/>
    <w:rsid w:val="4C136047"/>
    <w:rsid w:val="4C194E4E"/>
    <w:rsid w:val="4C975D73"/>
    <w:rsid w:val="4C9E7102"/>
    <w:rsid w:val="4CA024EB"/>
    <w:rsid w:val="4CA54934"/>
    <w:rsid w:val="4CBD7ED0"/>
    <w:rsid w:val="4CC0351C"/>
    <w:rsid w:val="4CDD40CE"/>
    <w:rsid w:val="4CE0771A"/>
    <w:rsid w:val="4CE7585A"/>
    <w:rsid w:val="4CEA0599"/>
    <w:rsid w:val="4CEC4311"/>
    <w:rsid w:val="4CF11927"/>
    <w:rsid w:val="4CF65190"/>
    <w:rsid w:val="4D027691"/>
    <w:rsid w:val="4D08077E"/>
    <w:rsid w:val="4D4E6D7A"/>
    <w:rsid w:val="4D5048A0"/>
    <w:rsid w:val="4D5123C6"/>
    <w:rsid w:val="4D810EFD"/>
    <w:rsid w:val="4DC114AA"/>
    <w:rsid w:val="4DC4528E"/>
    <w:rsid w:val="4DCF7EBB"/>
    <w:rsid w:val="4DDF5C24"/>
    <w:rsid w:val="4DE44FE8"/>
    <w:rsid w:val="4DF0398D"/>
    <w:rsid w:val="4DF711BF"/>
    <w:rsid w:val="4E061402"/>
    <w:rsid w:val="4E0B6A19"/>
    <w:rsid w:val="4E2D588F"/>
    <w:rsid w:val="4E5C5760"/>
    <w:rsid w:val="4E6323B1"/>
    <w:rsid w:val="4E740A62"/>
    <w:rsid w:val="4E7B76FB"/>
    <w:rsid w:val="4E8567CB"/>
    <w:rsid w:val="4E915D91"/>
    <w:rsid w:val="4EA2737D"/>
    <w:rsid w:val="4F0E67C1"/>
    <w:rsid w:val="4F4026F2"/>
    <w:rsid w:val="4F413281"/>
    <w:rsid w:val="4F440434"/>
    <w:rsid w:val="4F4953A8"/>
    <w:rsid w:val="4F4A3571"/>
    <w:rsid w:val="4F527D9E"/>
    <w:rsid w:val="4F5A1A06"/>
    <w:rsid w:val="4F701229"/>
    <w:rsid w:val="4F730D1A"/>
    <w:rsid w:val="4F764366"/>
    <w:rsid w:val="4F781E8C"/>
    <w:rsid w:val="4F7D74A2"/>
    <w:rsid w:val="4F822D0B"/>
    <w:rsid w:val="4F9842DC"/>
    <w:rsid w:val="4FA15887"/>
    <w:rsid w:val="4FD76985"/>
    <w:rsid w:val="50125E3D"/>
    <w:rsid w:val="501A73E7"/>
    <w:rsid w:val="50330A02"/>
    <w:rsid w:val="50406E4E"/>
    <w:rsid w:val="50463D38"/>
    <w:rsid w:val="5051105B"/>
    <w:rsid w:val="505A77E4"/>
    <w:rsid w:val="505C17AE"/>
    <w:rsid w:val="50610B72"/>
    <w:rsid w:val="506863A4"/>
    <w:rsid w:val="50700DB5"/>
    <w:rsid w:val="508825A3"/>
    <w:rsid w:val="508A32A1"/>
    <w:rsid w:val="508B28F6"/>
    <w:rsid w:val="50D812AE"/>
    <w:rsid w:val="50DA6CE1"/>
    <w:rsid w:val="513015C2"/>
    <w:rsid w:val="513242BC"/>
    <w:rsid w:val="51392F6C"/>
    <w:rsid w:val="514364CA"/>
    <w:rsid w:val="51607570"/>
    <w:rsid w:val="516E1798"/>
    <w:rsid w:val="51A60868"/>
    <w:rsid w:val="51BF00C7"/>
    <w:rsid w:val="51DC4719"/>
    <w:rsid w:val="51E25CE3"/>
    <w:rsid w:val="51E63A25"/>
    <w:rsid w:val="51EB4B97"/>
    <w:rsid w:val="51EC090F"/>
    <w:rsid w:val="5209326F"/>
    <w:rsid w:val="52094B6D"/>
    <w:rsid w:val="522D3402"/>
    <w:rsid w:val="523C2913"/>
    <w:rsid w:val="523C3645"/>
    <w:rsid w:val="52524C16"/>
    <w:rsid w:val="5253273C"/>
    <w:rsid w:val="52831274"/>
    <w:rsid w:val="5285323E"/>
    <w:rsid w:val="52932981"/>
    <w:rsid w:val="52974D1F"/>
    <w:rsid w:val="52B7716F"/>
    <w:rsid w:val="52E31902"/>
    <w:rsid w:val="52E361B6"/>
    <w:rsid w:val="52EA4E4F"/>
    <w:rsid w:val="52F35936"/>
    <w:rsid w:val="52F42171"/>
    <w:rsid w:val="53000B16"/>
    <w:rsid w:val="534E2965"/>
    <w:rsid w:val="53794425"/>
    <w:rsid w:val="537A2F80"/>
    <w:rsid w:val="537D5CC3"/>
    <w:rsid w:val="53CC6C4A"/>
    <w:rsid w:val="53DB00CC"/>
    <w:rsid w:val="53E61ABA"/>
    <w:rsid w:val="53EA0E7E"/>
    <w:rsid w:val="53EC4BF7"/>
    <w:rsid w:val="54297BF9"/>
    <w:rsid w:val="5455279C"/>
    <w:rsid w:val="545E3D46"/>
    <w:rsid w:val="547075D6"/>
    <w:rsid w:val="547A66A6"/>
    <w:rsid w:val="548117E3"/>
    <w:rsid w:val="549020EC"/>
    <w:rsid w:val="549332C4"/>
    <w:rsid w:val="54E51D72"/>
    <w:rsid w:val="55083CB2"/>
    <w:rsid w:val="550C37A2"/>
    <w:rsid w:val="551E5284"/>
    <w:rsid w:val="555B2E36"/>
    <w:rsid w:val="556A04C9"/>
    <w:rsid w:val="55706D0C"/>
    <w:rsid w:val="5585488F"/>
    <w:rsid w:val="55937A20"/>
    <w:rsid w:val="55943798"/>
    <w:rsid w:val="559D264C"/>
    <w:rsid w:val="55C51BA3"/>
    <w:rsid w:val="55CA71B9"/>
    <w:rsid w:val="55CE0A58"/>
    <w:rsid w:val="55DA73FC"/>
    <w:rsid w:val="55DB4F23"/>
    <w:rsid w:val="55E10C73"/>
    <w:rsid w:val="5637484F"/>
    <w:rsid w:val="564C7EEC"/>
    <w:rsid w:val="565F5B54"/>
    <w:rsid w:val="56757125"/>
    <w:rsid w:val="5677741B"/>
    <w:rsid w:val="567A0BDF"/>
    <w:rsid w:val="568B781D"/>
    <w:rsid w:val="569D042A"/>
    <w:rsid w:val="56A25464"/>
    <w:rsid w:val="56DB134B"/>
    <w:rsid w:val="56DC6C87"/>
    <w:rsid w:val="56E60023"/>
    <w:rsid w:val="56ED7603"/>
    <w:rsid w:val="56EE3BE1"/>
    <w:rsid w:val="57201787"/>
    <w:rsid w:val="57362D58"/>
    <w:rsid w:val="574216FD"/>
    <w:rsid w:val="575B6074"/>
    <w:rsid w:val="577D2735"/>
    <w:rsid w:val="57A44166"/>
    <w:rsid w:val="57A557E8"/>
    <w:rsid w:val="57CA16F3"/>
    <w:rsid w:val="57E9601D"/>
    <w:rsid w:val="57EF2F07"/>
    <w:rsid w:val="57F16C7F"/>
    <w:rsid w:val="58207565"/>
    <w:rsid w:val="58353010"/>
    <w:rsid w:val="585711D8"/>
    <w:rsid w:val="58704048"/>
    <w:rsid w:val="58705DF6"/>
    <w:rsid w:val="58896EB8"/>
    <w:rsid w:val="58906498"/>
    <w:rsid w:val="589D06F1"/>
    <w:rsid w:val="589F57AC"/>
    <w:rsid w:val="58BD6B62"/>
    <w:rsid w:val="58CD6515"/>
    <w:rsid w:val="58EA5F5A"/>
    <w:rsid w:val="58FC41B8"/>
    <w:rsid w:val="59080725"/>
    <w:rsid w:val="591364EE"/>
    <w:rsid w:val="591947F9"/>
    <w:rsid w:val="591E773C"/>
    <w:rsid w:val="592508B0"/>
    <w:rsid w:val="592941F7"/>
    <w:rsid w:val="59554FEC"/>
    <w:rsid w:val="59567924"/>
    <w:rsid w:val="59CE1CFC"/>
    <w:rsid w:val="59EE16C8"/>
    <w:rsid w:val="59FB0531"/>
    <w:rsid w:val="5A0E58C7"/>
    <w:rsid w:val="5A117165"/>
    <w:rsid w:val="5A1A6BF6"/>
    <w:rsid w:val="5A33357F"/>
    <w:rsid w:val="5A5F6122"/>
    <w:rsid w:val="5A647BDD"/>
    <w:rsid w:val="5A89128F"/>
    <w:rsid w:val="5A9F6E67"/>
    <w:rsid w:val="5AA955EF"/>
    <w:rsid w:val="5AD54636"/>
    <w:rsid w:val="5ADA39FB"/>
    <w:rsid w:val="5ADA7E9F"/>
    <w:rsid w:val="5AF34ABD"/>
    <w:rsid w:val="5AF9001A"/>
    <w:rsid w:val="5B2125F0"/>
    <w:rsid w:val="5B2555BE"/>
    <w:rsid w:val="5B353327"/>
    <w:rsid w:val="5B4377F2"/>
    <w:rsid w:val="5B4B2B4A"/>
    <w:rsid w:val="5B500161"/>
    <w:rsid w:val="5B5639C9"/>
    <w:rsid w:val="5B6A2D43"/>
    <w:rsid w:val="5B6F4A8B"/>
    <w:rsid w:val="5B7A444D"/>
    <w:rsid w:val="5B9B762E"/>
    <w:rsid w:val="5B9C33A6"/>
    <w:rsid w:val="5BA069F2"/>
    <w:rsid w:val="5BA91386"/>
    <w:rsid w:val="5BB73D3C"/>
    <w:rsid w:val="5BD279BE"/>
    <w:rsid w:val="5BE27DEB"/>
    <w:rsid w:val="5BE34B31"/>
    <w:rsid w:val="5BF136F2"/>
    <w:rsid w:val="5BF154A0"/>
    <w:rsid w:val="5C0276AD"/>
    <w:rsid w:val="5C094DFA"/>
    <w:rsid w:val="5C115B42"/>
    <w:rsid w:val="5C1679B9"/>
    <w:rsid w:val="5C260474"/>
    <w:rsid w:val="5C447CC6"/>
    <w:rsid w:val="5C763BF7"/>
    <w:rsid w:val="5CBD1826"/>
    <w:rsid w:val="5CC826A5"/>
    <w:rsid w:val="5CE45005"/>
    <w:rsid w:val="5CF05758"/>
    <w:rsid w:val="5CFA76EE"/>
    <w:rsid w:val="5D096819"/>
    <w:rsid w:val="5D146FD8"/>
    <w:rsid w:val="5D2221E8"/>
    <w:rsid w:val="5D35760E"/>
    <w:rsid w:val="5D467A6D"/>
    <w:rsid w:val="5DCE6AFC"/>
    <w:rsid w:val="5DDB01B6"/>
    <w:rsid w:val="5DF43025"/>
    <w:rsid w:val="5E061609"/>
    <w:rsid w:val="5E0D40E7"/>
    <w:rsid w:val="5E1216FE"/>
    <w:rsid w:val="5E282CCF"/>
    <w:rsid w:val="5E431DA7"/>
    <w:rsid w:val="5E6145B0"/>
    <w:rsid w:val="5E671A49"/>
    <w:rsid w:val="5E7B72A3"/>
    <w:rsid w:val="5E7D301B"/>
    <w:rsid w:val="5E8343A9"/>
    <w:rsid w:val="5E875C48"/>
    <w:rsid w:val="5E9860A7"/>
    <w:rsid w:val="5EAC56AE"/>
    <w:rsid w:val="5EB86749"/>
    <w:rsid w:val="5EBF0AE2"/>
    <w:rsid w:val="5EE14AD1"/>
    <w:rsid w:val="5EE353A3"/>
    <w:rsid w:val="5EE41DAC"/>
    <w:rsid w:val="5EF64B7B"/>
    <w:rsid w:val="5F076D88"/>
    <w:rsid w:val="5F257C5B"/>
    <w:rsid w:val="5F6B5569"/>
    <w:rsid w:val="5F7A1C50"/>
    <w:rsid w:val="5F8605F5"/>
    <w:rsid w:val="5F8D54E0"/>
    <w:rsid w:val="5F93645F"/>
    <w:rsid w:val="5FB07420"/>
    <w:rsid w:val="5FC44C79"/>
    <w:rsid w:val="5FE315A4"/>
    <w:rsid w:val="5FE771CD"/>
    <w:rsid w:val="60106B4D"/>
    <w:rsid w:val="603040BD"/>
    <w:rsid w:val="6037544B"/>
    <w:rsid w:val="604069F6"/>
    <w:rsid w:val="60443454"/>
    <w:rsid w:val="604F09E7"/>
    <w:rsid w:val="607246D5"/>
    <w:rsid w:val="608C7244"/>
    <w:rsid w:val="609D5BF6"/>
    <w:rsid w:val="60AF592A"/>
    <w:rsid w:val="60B60A66"/>
    <w:rsid w:val="60B92304"/>
    <w:rsid w:val="60C72C73"/>
    <w:rsid w:val="60F31CBA"/>
    <w:rsid w:val="610727EC"/>
    <w:rsid w:val="61181721"/>
    <w:rsid w:val="611C2242"/>
    <w:rsid w:val="612754C0"/>
    <w:rsid w:val="61314591"/>
    <w:rsid w:val="6138591F"/>
    <w:rsid w:val="614B5652"/>
    <w:rsid w:val="617744AF"/>
    <w:rsid w:val="617C0B69"/>
    <w:rsid w:val="618B3CA1"/>
    <w:rsid w:val="618D5C6B"/>
    <w:rsid w:val="61907509"/>
    <w:rsid w:val="61A11716"/>
    <w:rsid w:val="61A17077"/>
    <w:rsid w:val="61B054B5"/>
    <w:rsid w:val="61C6117D"/>
    <w:rsid w:val="61CB22EF"/>
    <w:rsid w:val="61FE26C5"/>
    <w:rsid w:val="62172E25"/>
    <w:rsid w:val="621A6DD3"/>
    <w:rsid w:val="622F0AD0"/>
    <w:rsid w:val="623C143F"/>
    <w:rsid w:val="623C4F9B"/>
    <w:rsid w:val="624B5970"/>
    <w:rsid w:val="62586279"/>
    <w:rsid w:val="625E1026"/>
    <w:rsid w:val="627E55B4"/>
    <w:rsid w:val="628C5F22"/>
    <w:rsid w:val="62970423"/>
    <w:rsid w:val="62A414BE"/>
    <w:rsid w:val="62BD2580"/>
    <w:rsid w:val="62D705FF"/>
    <w:rsid w:val="62DA4EE0"/>
    <w:rsid w:val="63147CC6"/>
    <w:rsid w:val="633B34A5"/>
    <w:rsid w:val="63414F5F"/>
    <w:rsid w:val="63585E05"/>
    <w:rsid w:val="635D341B"/>
    <w:rsid w:val="635D78BF"/>
    <w:rsid w:val="6367429A"/>
    <w:rsid w:val="636C542D"/>
    <w:rsid w:val="638766EA"/>
    <w:rsid w:val="639C03E7"/>
    <w:rsid w:val="639D7CBB"/>
    <w:rsid w:val="63A759EE"/>
    <w:rsid w:val="63BA4A2A"/>
    <w:rsid w:val="63C642D3"/>
    <w:rsid w:val="63F7561D"/>
    <w:rsid w:val="64144421"/>
    <w:rsid w:val="641C32D6"/>
    <w:rsid w:val="642108EC"/>
    <w:rsid w:val="643F1DC1"/>
    <w:rsid w:val="64462101"/>
    <w:rsid w:val="64794284"/>
    <w:rsid w:val="64923598"/>
    <w:rsid w:val="64990483"/>
    <w:rsid w:val="649D4A39"/>
    <w:rsid w:val="64B33C3A"/>
    <w:rsid w:val="64B452BD"/>
    <w:rsid w:val="64CA4AE0"/>
    <w:rsid w:val="64CC2606"/>
    <w:rsid w:val="64D4595F"/>
    <w:rsid w:val="651421FF"/>
    <w:rsid w:val="651D2E62"/>
    <w:rsid w:val="65293EFC"/>
    <w:rsid w:val="653463FD"/>
    <w:rsid w:val="653A1C66"/>
    <w:rsid w:val="65530F79"/>
    <w:rsid w:val="65566AE2"/>
    <w:rsid w:val="65640A91"/>
    <w:rsid w:val="658465BD"/>
    <w:rsid w:val="65872B8F"/>
    <w:rsid w:val="6587477F"/>
    <w:rsid w:val="658E3D60"/>
    <w:rsid w:val="659550EE"/>
    <w:rsid w:val="65B37777"/>
    <w:rsid w:val="65C543D4"/>
    <w:rsid w:val="65CF1E1C"/>
    <w:rsid w:val="65D379C4"/>
    <w:rsid w:val="66154481"/>
    <w:rsid w:val="66304E17"/>
    <w:rsid w:val="6646288C"/>
    <w:rsid w:val="664D3C1B"/>
    <w:rsid w:val="665925BF"/>
    <w:rsid w:val="66615FC4"/>
    <w:rsid w:val="667411A7"/>
    <w:rsid w:val="6683763C"/>
    <w:rsid w:val="66A0567E"/>
    <w:rsid w:val="66B617C0"/>
    <w:rsid w:val="66DD1560"/>
    <w:rsid w:val="66EC3434"/>
    <w:rsid w:val="66F44096"/>
    <w:rsid w:val="671918BF"/>
    <w:rsid w:val="67197702"/>
    <w:rsid w:val="675B5EC3"/>
    <w:rsid w:val="675E7762"/>
    <w:rsid w:val="6764746E"/>
    <w:rsid w:val="677B6565"/>
    <w:rsid w:val="6793565D"/>
    <w:rsid w:val="67A43DBB"/>
    <w:rsid w:val="67A47F2F"/>
    <w:rsid w:val="67AF35AB"/>
    <w:rsid w:val="67B657F0"/>
    <w:rsid w:val="67CE5A1C"/>
    <w:rsid w:val="67F500C6"/>
    <w:rsid w:val="680C578D"/>
    <w:rsid w:val="680F23AE"/>
    <w:rsid w:val="68142C42"/>
    <w:rsid w:val="681D13CB"/>
    <w:rsid w:val="68330BEE"/>
    <w:rsid w:val="684D7F02"/>
    <w:rsid w:val="68774F7F"/>
    <w:rsid w:val="68825894"/>
    <w:rsid w:val="688558EE"/>
    <w:rsid w:val="6888718C"/>
    <w:rsid w:val="688B4586"/>
    <w:rsid w:val="68B735CD"/>
    <w:rsid w:val="68C006D4"/>
    <w:rsid w:val="68CA77A4"/>
    <w:rsid w:val="690305C1"/>
    <w:rsid w:val="69083E29"/>
    <w:rsid w:val="6910092C"/>
    <w:rsid w:val="69584DB0"/>
    <w:rsid w:val="695D5F23"/>
    <w:rsid w:val="698F00A6"/>
    <w:rsid w:val="69A73642"/>
    <w:rsid w:val="69B16D23"/>
    <w:rsid w:val="69B67D29"/>
    <w:rsid w:val="69BF6BDD"/>
    <w:rsid w:val="69D00DEB"/>
    <w:rsid w:val="69D501AF"/>
    <w:rsid w:val="69DB5903"/>
    <w:rsid w:val="69DD00B6"/>
    <w:rsid w:val="69FF552E"/>
    <w:rsid w:val="6A024D1C"/>
    <w:rsid w:val="6A155E28"/>
    <w:rsid w:val="6A460108"/>
    <w:rsid w:val="6A4B0471"/>
    <w:rsid w:val="6A753740"/>
    <w:rsid w:val="6A8D0A8A"/>
    <w:rsid w:val="6A9260A0"/>
    <w:rsid w:val="6A933BC6"/>
    <w:rsid w:val="6A9C6F1F"/>
    <w:rsid w:val="6AB75B07"/>
    <w:rsid w:val="6AC02C0D"/>
    <w:rsid w:val="6AC83870"/>
    <w:rsid w:val="6ACB3360"/>
    <w:rsid w:val="6B014FD4"/>
    <w:rsid w:val="6B03376C"/>
    <w:rsid w:val="6B1747F7"/>
    <w:rsid w:val="6B511AB7"/>
    <w:rsid w:val="6B936C68"/>
    <w:rsid w:val="6B9419A4"/>
    <w:rsid w:val="6B97585E"/>
    <w:rsid w:val="6BC56001"/>
    <w:rsid w:val="6BCE3108"/>
    <w:rsid w:val="6BD46244"/>
    <w:rsid w:val="6C240F7A"/>
    <w:rsid w:val="6C2B055A"/>
    <w:rsid w:val="6C3D203B"/>
    <w:rsid w:val="6C3F4006"/>
    <w:rsid w:val="6C4510B7"/>
    <w:rsid w:val="6C5E0930"/>
    <w:rsid w:val="6C733082"/>
    <w:rsid w:val="6CB00A5F"/>
    <w:rsid w:val="6CD7423E"/>
    <w:rsid w:val="6CEB03E6"/>
    <w:rsid w:val="6CF655DC"/>
    <w:rsid w:val="6D036DE1"/>
    <w:rsid w:val="6D1B05CF"/>
    <w:rsid w:val="6D325918"/>
    <w:rsid w:val="6D394EF9"/>
    <w:rsid w:val="6D7952F5"/>
    <w:rsid w:val="6D9E2FAE"/>
    <w:rsid w:val="6DD30EA9"/>
    <w:rsid w:val="6DE36C13"/>
    <w:rsid w:val="6DE9247B"/>
    <w:rsid w:val="6DE93217"/>
    <w:rsid w:val="6DEC1F6B"/>
    <w:rsid w:val="6E192634"/>
    <w:rsid w:val="6E5B2C4D"/>
    <w:rsid w:val="6EAB3BD4"/>
    <w:rsid w:val="6EBF4F8A"/>
    <w:rsid w:val="6EC66B0E"/>
    <w:rsid w:val="6EE40E94"/>
    <w:rsid w:val="6F045092"/>
    <w:rsid w:val="6F0D2199"/>
    <w:rsid w:val="6F2A2D4B"/>
    <w:rsid w:val="6F6D0E8A"/>
    <w:rsid w:val="6F6D6A14"/>
    <w:rsid w:val="6F997F1E"/>
    <w:rsid w:val="6F9B6693"/>
    <w:rsid w:val="6FAD572A"/>
    <w:rsid w:val="6FAE1BAC"/>
    <w:rsid w:val="6FB865A9"/>
    <w:rsid w:val="6FD607DD"/>
    <w:rsid w:val="6FEC1DAE"/>
    <w:rsid w:val="6FF9096F"/>
    <w:rsid w:val="70207CAA"/>
    <w:rsid w:val="70293003"/>
    <w:rsid w:val="7064228D"/>
    <w:rsid w:val="70700F6A"/>
    <w:rsid w:val="707029DF"/>
    <w:rsid w:val="70745D00"/>
    <w:rsid w:val="7092299B"/>
    <w:rsid w:val="70A00DEB"/>
    <w:rsid w:val="70A03B5A"/>
    <w:rsid w:val="70AC59E2"/>
    <w:rsid w:val="70B55F9E"/>
    <w:rsid w:val="70C1148D"/>
    <w:rsid w:val="70D10432"/>
    <w:rsid w:val="70EA1696"/>
    <w:rsid w:val="71342EB0"/>
    <w:rsid w:val="71381023"/>
    <w:rsid w:val="713D753D"/>
    <w:rsid w:val="71533639"/>
    <w:rsid w:val="71582B68"/>
    <w:rsid w:val="715E0A8A"/>
    <w:rsid w:val="716A3209"/>
    <w:rsid w:val="718F50E7"/>
    <w:rsid w:val="71A36DE5"/>
    <w:rsid w:val="71AF5789"/>
    <w:rsid w:val="71BB3303"/>
    <w:rsid w:val="71BB412E"/>
    <w:rsid w:val="71F27E45"/>
    <w:rsid w:val="72005D4E"/>
    <w:rsid w:val="72005FE5"/>
    <w:rsid w:val="722C2936"/>
    <w:rsid w:val="724265FE"/>
    <w:rsid w:val="72764601"/>
    <w:rsid w:val="72785B7B"/>
    <w:rsid w:val="72A72905"/>
    <w:rsid w:val="72A76461"/>
    <w:rsid w:val="72BD5C84"/>
    <w:rsid w:val="72C214EC"/>
    <w:rsid w:val="72D11605"/>
    <w:rsid w:val="72D37256"/>
    <w:rsid w:val="72DD13EA"/>
    <w:rsid w:val="72DF5BFA"/>
    <w:rsid w:val="72E6342D"/>
    <w:rsid w:val="72EE5E3E"/>
    <w:rsid w:val="72FA6ED8"/>
    <w:rsid w:val="72FC49FE"/>
    <w:rsid w:val="73062048"/>
    <w:rsid w:val="73075151"/>
    <w:rsid w:val="734A42C5"/>
    <w:rsid w:val="734D7008"/>
    <w:rsid w:val="734E2D80"/>
    <w:rsid w:val="73532145"/>
    <w:rsid w:val="73612AB3"/>
    <w:rsid w:val="738549F4"/>
    <w:rsid w:val="73886292"/>
    <w:rsid w:val="739509AF"/>
    <w:rsid w:val="73AE505F"/>
    <w:rsid w:val="73B4610E"/>
    <w:rsid w:val="73E334C8"/>
    <w:rsid w:val="73EA0CFB"/>
    <w:rsid w:val="73FB069F"/>
    <w:rsid w:val="74031DBD"/>
    <w:rsid w:val="74076B7C"/>
    <w:rsid w:val="7408751B"/>
    <w:rsid w:val="74212243"/>
    <w:rsid w:val="7434641A"/>
    <w:rsid w:val="744A1799"/>
    <w:rsid w:val="7463285B"/>
    <w:rsid w:val="74633A10"/>
    <w:rsid w:val="74AC5FB0"/>
    <w:rsid w:val="74BA691F"/>
    <w:rsid w:val="74BB603F"/>
    <w:rsid w:val="74FC6F38"/>
    <w:rsid w:val="750556C0"/>
    <w:rsid w:val="75096F5F"/>
    <w:rsid w:val="751A5610"/>
    <w:rsid w:val="75243D99"/>
    <w:rsid w:val="75273889"/>
    <w:rsid w:val="752C0E9F"/>
    <w:rsid w:val="7557416E"/>
    <w:rsid w:val="75750A98"/>
    <w:rsid w:val="757D16FB"/>
    <w:rsid w:val="75930F1E"/>
    <w:rsid w:val="75B01AD0"/>
    <w:rsid w:val="75C612F4"/>
    <w:rsid w:val="75F61BD9"/>
    <w:rsid w:val="7645046A"/>
    <w:rsid w:val="7645707A"/>
    <w:rsid w:val="765661D4"/>
    <w:rsid w:val="766F3739"/>
    <w:rsid w:val="768865A9"/>
    <w:rsid w:val="76AF7FDA"/>
    <w:rsid w:val="76B37ACA"/>
    <w:rsid w:val="77073972"/>
    <w:rsid w:val="771340C5"/>
    <w:rsid w:val="771640A9"/>
    <w:rsid w:val="772F012D"/>
    <w:rsid w:val="77597B56"/>
    <w:rsid w:val="775C4823"/>
    <w:rsid w:val="77642B72"/>
    <w:rsid w:val="77933457"/>
    <w:rsid w:val="77D45F4A"/>
    <w:rsid w:val="77D97D3B"/>
    <w:rsid w:val="77E048EF"/>
    <w:rsid w:val="77F42148"/>
    <w:rsid w:val="77F45029"/>
    <w:rsid w:val="78056103"/>
    <w:rsid w:val="78104AA8"/>
    <w:rsid w:val="783B7D77"/>
    <w:rsid w:val="784C3D32"/>
    <w:rsid w:val="785301AF"/>
    <w:rsid w:val="786D3CA8"/>
    <w:rsid w:val="78A32461"/>
    <w:rsid w:val="78A82F32"/>
    <w:rsid w:val="78B14583"/>
    <w:rsid w:val="78BD078C"/>
    <w:rsid w:val="78C37D6C"/>
    <w:rsid w:val="78DE7587"/>
    <w:rsid w:val="78E15435"/>
    <w:rsid w:val="78FD6DDA"/>
    <w:rsid w:val="79273E57"/>
    <w:rsid w:val="79283B12"/>
    <w:rsid w:val="7940316B"/>
    <w:rsid w:val="79667075"/>
    <w:rsid w:val="797D43BF"/>
    <w:rsid w:val="79905EA0"/>
    <w:rsid w:val="79C8563A"/>
    <w:rsid w:val="79D43A2B"/>
    <w:rsid w:val="79E81839"/>
    <w:rsid w:val="79E87A8A"/>
    <w:rsid w:val="79F521A7"/>
    <w:rsid w:val="79FF6B82"/>
    <w:rsid w:val="7A15284A"/>
    <w:rsid w:val="7A1563A6"/>
    <w:rsid w:val="7A173689"/>
    <w:rsid w:val="7A291E51"/>
    <w:rsid w:val="7A2B24F3"/>
    <w:rsid w:val="7A356A48"/>
    <w:rsid w:val="7A703470"/>
    <w:rsid w:val="7A7F6855"/>
    <w:rsid w:val="7AA00365"/>
    <w:rsid w:val="7ACA7190"/>
    <w:rsid w:val="7AD4000F"/>
    <w:rsid w:val="7AD87AFF"/>
    <w:rsid w:val="7AF1296F"/>
    <w:rsid w:val="7B0A3A31"/>
    <w:rsid w:val="7B0F54EB"/>
    <w:rsid w:val="7B1F572E"/>
    <w:rsid w:val="7B2745E3"/>
    <w:rsid w:val="7B3665D4"/>
    <w:rsid w:val="7B3D3E06"/>
    <w:rsid w:val="7B4D65A5"/>
    <w:rsid w:val="7B66335D"/>
    <w:rsid w:val="7B6D0991"/>
    <w:rsid w:val="7B786BEC"/>
    <w:rsid w:val="7B825CBD"/>
    <w:rsid w:val="7B8B4B71"/>
    <w:rsid w:val="7BB87930"/>
    <w:rsid w:val="7BBC2979"/>
    <w:rsid w:val="7BD5403F"/>
    <w:rsid w:val="7BF36D81"/>
    <w:rsid w:val="7BFE5359"/>
    <w:rsid w:val="7C0D37D8"/>
    <w:rsid w:val="7C1E3C37"/>
    <w:rsid w:val="7C266648"/>
    <w:rsid w:val="7C473A86"/>
    <w:rsid w:val="7C5331B5"/>
    <w:rsid w:val="7C570EF7"/>
    <w:rsid w:val="7C5A2796"/>
    <w:rsid w:val="7C5E2286"/>
    <w:rsid w:val="7C6D24C9"/>
    <w:rsid w:val="7C6E3D02"/>
    <w:rsid w:val="7C7C67B1"/>
    <w:rsid w:val="7C93202F"/>
    <w:rsid w:val="7C9B5288"/>
    <w:rsid w:val="7CAA54CB"/>
    <w:rsid w:val="7CB11251"/>
    <w:rsid w:val="7CB41EA6"/>
    <w:rsid w:val="7CC16FD0"/>
    <w:rsid w:val="7CD45867"/>
    <w:rsid w:val="7CE03AFE"/>
    <w:rsid w:val="7CEF7382"/>
    <w:rsid w:val="7D00333D"/>
    <w:rsid w:val="7D0C7F34"/>
    <w:rsid w:val="7D4F6073"/>
    <w:rsid w:val="7D513B99"/>
    <w:rsid w:val="7D5F623D"/>
    <w:rsid w:val="7D67516A"/>
    <w:rsid w:val="7D7C2513"/>
    <w:rsid w:val="7D800F9C"/>
    <w:rsid w:val="7DA51423"/>
    <w:rsid w:val="7DB51FF7"/>
    <w:rsid w:val="7DBA7990"/>
    <w:rsid w:val="7DC223A1"/>
    <w:rsid w:val="7DD520D4"/>
    <w:rsid w:val="7DDA593C"/>
    <w:rsid w:val="7E0E3838"/>
    <w:rsid w:val="7E183C7F"/>
    <w:rsid w:val="7E2B263C"/>
    <w:rsid w:val="7E481426"/>
    <w:rsid w:val="7E510584"/>
    <w:rsid w:val="7E5E00D6"/>
    <w:rsid w:val="7E621EF2"/>
    <w:rsid w:val="7E7E2819"/>
    <w:rsid w:val="7E7E6C0F"/>
    <w:rsid w:val="7E834226"/>
    <w:rsid w:val="7E88183C"/>
    <w:rsid w:val="7E977CD1"/>
    <w:rsid w:val="7E9957F7"/>
    <w:rsid w:val="7EE06F82"/>
    <w:rsid w:val="7EE64944"/>
    <w:rsid w:val="7F2A46A1"/>
    <w:rsid w:val="7F4734A5"/>
    <w:rsid w:val="7F4C37A9"/>
    <w:rsid w:val="7F6851CA"/>
    <w:rsid w:val="7F8C2C66"/>
    <w:rsid w:val="7F9E0BEB"/>
    <w:rsid w:val="7FDC0AF3"/>
    <w:rsid w:val="7FF151BF"/>
    <w:rsid w:val="7FF5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link w:val="36"/>
    <w:unhideWhenUsed/>
    <w:qFormat/>
    <w:uiPriority w:val="9"/>
    <w:pPr>
      <w:keepNext/>
      <w:keepLines/>
      <w:spacing w:beforeLines="50" w:line="360" w:lineRule="exact"/>
      <w:jc w:val="left"/>
      <w:outlineLvl w:val="1"/>
    </w:pPr>
    <w:rPr>
      <w:rFonts w:eastAsia="黑体" w:asciiTheme="majorHAnsi" w:hAnsiTheme="majorHAnsi" w:cstheme="majorBidi"/>
      <w:bCs/>
      <w:sz w:val="24"/>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keepNext/>
      <w:outlineLvl w:val="4"/>
    </w:pPr>
    <w:rPr>
      <w:rFonts w:ascii="宋体" w:hAnsi="宋体" w:cs="宋体"/>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rPr>
      <w:rFonts w:ascii="Times New Roman" w:hAnsi="Times New Roman" w:eastAsia="方正行楷简体" w:cs="Times New Roman"/>
      <w:szCs w:val="20"/>
    </w:rPr>
  </w:style>
  <w:style w:type="paragraph" w:styleId="7">
    <w:name w:val="index 5"/>
    <w:basedOn w:val="1"/>
    <w:next w:val="1"/>
    <w:qFormat/>
    <w:uiPriority w:val="0"/>
    <w:pPr>
      <w:ind w:left="1680"/>
    </w:pPr>
  </w:style>
  <w:style w:type="paragraph" w:styleId="8">
    <w:name w:val="Body Text 3"/>
    <w:basedOn w:val="1"/>
    <w:link w:val="37"/>
    <w:qFormat/>
    <w:uiPriority w:val="0"/>
    <w:pPr>
      <w:spacing w:after="120"/>
    </w:pPr>
    <w:rPr>
      <w:rFonts w:ascii="Times New Roman" w:hAnsi="Times New Roman" w:eastAsia="宋体" w:cs="Times New Roman"/>
      <w:sz w:val="16"/>
      <w:szCs w:val="16"/>
    </w:rPr>
  </w:style>
  <w:style w:type="paragraph" w:styleId="9">
    <w:name w:val="Body Text"/>
    <w:basedOn w:val="1"/>
    <w:next w:val="10"/>
    <w:qFormat/>
    <w:uiPriority w:val="1"/>
    <w:pPr>
      <w:spacing w:before="2"/>
    </w:pPr>
    <w:rPr>
      <w:rFonts w:ascii="仿宋" w:hAnsi="仿宋" w:eastAsia="仿宋" w:cs="仿宋"/>
      <w:b/>
      <w:bCs/>
      <w:sz w:val="40"/>
      <w:szCs w:val="40"/>
      <w:lang w:val="zh-CN" w:bidi="zh-CN"/>
    </w:rPr>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qFormat/>
    <w:uiPriority w:val="0"/>
    <w:pPr>
      <w:spacing w:after="120"/>
      <w:ind w:left="420"/>
    </w:pPr>
  </w:style>
  <w:style w:type="paragraph" w:styleId="12">
    <w:name w:val="toc 3"/>
    <w:basedOn w:val="1"/>
    <w:next w:val="1"/>
    <w:unhideWhenUsed/>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Date"/>
    <w:basedOn w:val="1"/>
    <w:next w:val="1"/>
    <w:link w:val="38"/>
    <w:qFormat/>
    <w:uiPriority w:val="0"/>
    <w:pPr>
      <w:spacing w:line="400" w:lineRule="exact"/>
    </w:pPr>
    <w:rPr>
      <w:rFonts w:ascii="仿宋_GB2312" w:hAnsi="Times New Roman" w:eastAsia="仿宋_GB2312" w:cs="Times New Roman"/>
      <w:kern w:val="0"/>
      <w:sz w:val="32"/>
      <w:szCs w:val="20"/>
    </w:rPr>
  </w:style>
  <w:style w:type="paragraph" w:styleId="15">
    <w:name w:val="Balloon Text"/>
    <w:basedOn w:val="1"/>
    <w:link w:val="43"/>
    <w:semiHidden/>
    <w:unhideWhenUsed/>
    <w:qFormat/>
    <w:uiPriority w:val="99"/>
    <w:rPr>
      <w:sz w:val="18"/>
      <w:szCs w:val="18"/>
    </w:rPr>
  </w:style>
  <w:style w:type="paragraph" w:styleId="16">
    <w:name w:val="footer"/>
    <w:basedOn w:val="1"/>
    <w:link w:val="35"/>
    <w:semiHidden/>
    <w:unhideWhenUsed/>
    <w:qFormat/>
    <w:uiPriority w:val="99"/>
    <w:pPr>
      <w:tabs>
        <w:tab w:val="center" w:pos="4153"/>
        <w:tab w:val="right" w:pos="8306"/>
      </w:tabs>
      <w:snapToGrid w:val="0"/>
      <w:jc w:val="left"/>
    </w:pPr>
    <w:rPr>
      <w:sz w:val="18"/>
      <w:szCs w:val="18"/>
    </w:rPr>
  </w:style>
  <w:style w:type="paragraph" w:styleId="17">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qFormat/>
    <w:uiPriority w:val="99"/>
    <w:pPr>
      <w:widowControl/>
      <w:jc w:val="left"/>
    </w:pPr>
    <w:rPr>
      <w:rFonts w:ascii="宋体" w:hAnsi="宋体" w:eastAsia="宋体" w:cs="宋体"/>
      <w:kern w:val="0"/>
      <w:sz w:val="24"/>
      <w:szCs w:val="24"/>
    </w:rPr>
  </w:style>
  <w:style w:type="paragraph" w:styleId="21">
    <w:name w:val="index 1"/>
    <w:basedOn w:val="1"/>
    <w:next w:val="1"/>
    <w:qFormat/>
    <w:uiPriority w:val="0"/>
    <w:pPr>
      <w:spacing w:line="460" w:lineRule="exact"/>
      <w:jc w:val="center"/>
      <w:outlineLvl w:val="0"/>
    </w:pPr>
    <w:rPr>
      <w:rFonts w:ascii="宋体" w:hAnsi="宋体"/>
      <w:b/>
      <w:bCs/>
      <w:sz w:val="30"/>
      <w:szCs w:val="30"/>
    </w:rPr>
  </w:style>
  <w:style w:type="paragraph" w:styleId="22">
    <w:name w:val="Body Text First Indent"/>
    <w:basedOn w:val="9"/>
    <w:qFormat/>
    <w:uiPriority w:val="0"/>
    <w:pPr>
      <w:ind w:firstLine="420" w:firstLineChars="1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basedOn w:val="25"/>
    <w:unhideWhenUsed/>
    <w:qFormat/>
    <w:uiPriority w:val="99"/>
    <w:rPr>
      <w:color w:val="0000FF" w:themeColor="hyperlink"/>
      <w:u w:val="single"/>
      <w14:textFill>
        <w14:solidFill>
          <w14:schemeClr w14:val="hlink"/>
        </w14:solidFill>
      </w14:textFill>
    </w:rPr>
  </w:style>
  <w:style w:type="paragraph" w:customStyle="1" w:styleId="29">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0">
    <w:name w:val="正文（缩进）"/>
    <w:basedOn w:val="1"/>
    <w:qFormat/>
    <w:uiPriority w:val="0"/>
    <w:pPr>
      <w:spacing w:before="156" w:after="156"/>
    </w:pPr>
  </w:style>
  <w:style w:type="paragraph" w:customStyle="1" w:styleId="31">
    <w:name w:val="二级标题"/>
    <w:basedOn w:val="1"/>
    <w:qFormat/>
    <w:uiPriority w:val="0"/>
    <w:pPr>
      <w:tabs>
        <w:tab w:val="left" w:pos="567"/>
      </w:tabs>
      <w:spacing w:line="360" w:lineRule="auto"/>
      <w:ind w:left="567" w:hanging="567"/>
      <w:outlineLvl w:val="1"/>
    </w:pPr>
    <w:rPr>
      <w:rFonts w:ascii="黑体" w:eastAsia="黑体"/>
      <w:sz w:val="32"/>
      <w:szCs w:val="28"/>
    </w:rPr>
  </w:style>
  <w:style w:type="paragraph" w:styleId="32">
    <w:name w:val="List Paragraph"/>
    <w:basedOn w:val="1"/>
    <w:unhideWhenUsed/>
    <w:qFormat/>
    <w:uiPriority w:val="99"/>
    <w:pPr>
      <w:ind w:firstLine="420" w:firstLineChars="200"/>
    </w:pPr>
  </w:style>
  <w:style w:type="character" w:customStyle="1" w:styleId="33">
    <w:name w:val="标题 1 Char"/>
    <w:basedOn w:val="25"/>
    <w:link w:val="2"/>
    <w:qFormat/>
    <w:uiPriority w:val="9"/>
    <w:rPr>
      <w:rFonts w:eastAsia="黑体" w:asciiTheme="minorHAnsi" w:hAnsiTheme="minorHAnsi" w:cstheme="minorBidi"/>
      <w:b/>
      <w:bCs/>
      <w:kern w:val="44"/>
      <w:sz w:val="36"/>
      <w:szCs w:val="44"/>
    </w:rPr>
  </w:style>
  <w:style w:type="character" w:customStyle="1" w:styleId="34">
    <w:name w:val="页眉 Char"/>
    <w:basedOn w:val="25"/>
    <w:link w:val="17"/>
    <w:semiHidden/>
    <w:qFormat/>
    <w:uiPriority w:val="99"/>
    <w:rPr>
      <w:sz w:val="18"/>
      <w:szCs w:val="18"/>
    </w:rPr>
  </w:style>
  <w:style w:type="character" w:customStyle="1" w:styleId="35">
    <w:name w:val="页脚 Char"/>
    <w:basedOn w:val="25"/>
    <w:link w:val="16"/>
    <w:semiHidden/>
    <w:qFormat/>
    <w:uiPriority w:val="99"/>
    <w:rPr>
      <w:sz w:val="18"/>
      <w:szCs w:val="18"/>
    </w:rPr>
  </w:style>
  <w:style w:type="character" w:customStyle="1" w:styleId="36">
    <w:name w:val="标题 2 Char"/>
    <w:basedOn w:val="25"/>
    <w:link w:val="3"/>
    <w:qFormat/>
    <w:uiPriority w:val="9"/>
    <w:rPr>
      <w:rFonts w:eastAsia="黑体" w:asciiTheme="majorHAnsi" w:hAnsiTheme="majorHAnsi" w:cstheme="majorBidi"/>
      <w:bCs/>
      <w:sz w:val="24"/>
      <w:szCs w:val="32"/>
    </w:rPr>
  </w:style>
  <w:style w:type="character" w:customStyle="1" w:styleId="37">
    <w:name w:val="正文文本 3 Char"/>
    <w:basedOn w:val="25"/>
    <w:link w:val="8"/>
    <w:qFormat/>
    <w:uiPriority w:val="0"/>
    <w:rPr>
      <w:rFonts w:ascii="Times New Roman" w:hAnsi="Times New Roman" w:eastAsia="宋体" w:cs="Times New Roman"/>
      <w:sz w:val="16"/>
      <w:szCs w:val="16"/>
    </w:rPr>
  </w:style>
  <w:style w:type="character" w:customStyle="1" w:styleId="38">
    <w:name w:val="日期 Char"/>
    <w:basedOn w:val="25"/>
    <w:link w:val="14"/>
    <w:qFormat/>
    <w:uiPriority w:val="0"/>
    <w:rPr>
      <w:rFonts w:ascii="仿宋_GB2312" w:hAnsi="Times New Roman" w:eastAsia="仿宋_GB2312" w:cs="Times New Roman"/>
      <w:kern w:val="0"/>
      <w:sz w:val="32"/>
      <w:szCs w:val="20"/>
    </w:rPr>
  </w:style>
  <w:style w:type="paragraph" w:customStyle="1" w:styleId="39">
    <w:name w:val="样式 标题 3 + (中文) 黑体 小四 非加粗 段前: 7.8 磅 段后: 0 磅 行距: 固定值 20 磅"/>
    <w:basedOn w:val="4"/>
    <w:qFormat/>
    <w:uiPriority w:val="0"/>
    <w:pPr>
      <w:spacing w:before="0" w:after="0" w:line="400" w:lineRule="exact"/>
    </w:pPr>
    <w:rPr>
      <w:rFonts w:ascii="宋体" w:hAnsi="宋体" w:eastAsia="黑体" w:cs="宋体"/>
      <w:b w:val="0"/>
      <w:bCs w:val="0"/>
      <w:sz w:val="24"/>
      <w:szCs w:val="20"/>
    </w:rPr>
  </w:style>
  <w:style w:type="character" w:customStyle="1" w:styleId="40">
    <w:name w:val="标题 3 Char"/>
    <w:basedOn w:val="25"/>
    <w:link w:val="4"/>
    <w:semiHidden/>
    <w:qFormat/>
    <w:uiPriority w:val="9"/>
    <w:rPr>
      <w:b/>
      <w:bCs/>
      <w:sz w:val="32"/>
      <w:szCs w:val="32"/>
    </w:rPr>
  </w:style>
  <w:style w:type="character" w:customStyle="1" w:styleId="41">
    <w:name w:val="case31"/>
    <w:basedOn w:val="25"/>
    <w:qFormat/>
    <w:uiPriority w:val="0"/>
    <w:rPr>
      <w:rFonts w:hint="default" w:ascii="_x000B__x000C_" w:hAnsi="_x000B__x000C_"/>
      <w:sz w:val="21"/>
      <w:szCs w:val="21"/>
    </w:rPr>
  </w:style>
  <w:style w:type="paragraph" w:customStyle="1" w:styleId="42">
    <w:name w:val="WPSOffice手动目录 1"/>
    <w:qFormat/>
    <w:uiPriority w:val="0"/>
    <w:rPr>
      <w:rFonts w:ascii="Times New Roman" w:hAnsi="Times New Roman" w:eastAsia="宋体" w:cs="Times New Roman"/>
      <w:lang w:val="en-US" w:eastAsia="zh-CN" w:bidi="ar-SA"/>
    </w:rPr>
  </w:style>
  <w:style w:type="character" w:customStyle="1" w:styleId="43">
    <w:name w:val="批注框文本 Char"/>
    <w:basedOn w:val="25"/>
    <w:link w:val="15"/>
    <w:semiHidden/>
    <w:qFormat/>
    <w:uiPriority w:val="99"/>
    <w:rPr>
      <w:rFonts w:asciiTheme="minorHAnsi" w:hAnsiTheme="minorHAnsi" w:eastAsiaTheme="minorEastAsia" w:cstheme="minorBidi"/>
      <w:kern w:val="2"/>
      <w:sz w:val="18"/>
      <w:szCs w:val="18"/>
    </w:rPr>
  </w:style>
  <w:style w:type="paragraph" w:customStyle="1" w:styleId="44">
    <w:name w:val="表格内容"/>
    <w:basedOn w:val="1"/>
    <w:qFormat/>
    <w:uiPriority w:val="0"/>
    <w:pPr>
      <w:spacing w:line="360" w:lineRule="auto"/>
      <w:jc w:val="center"/>
    </w:pPr>
    <w:rPr>
      <w:rFonts w:ascii="Times New Roman" w:hAnsi="Times New Roman" w:eastAsia="方正行楷简体" w:cs="Times New Roman"/>
      <w:sz w:val="24"/>
      <w:szCs w:val="28"/>
    </w:rPr>
  </w:style>
  <w:style w:type="paragraph" w:customStyle="1" w:styleId="4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font31"/>
    <w:basedOn w:val="25"/>
    <w:qFormat/>
    <w:uiPriority w:val="0"/>
    <w:rPr>
      <w:rFonts w:hint="default" w:ascii="等线" w:hAnsi="等线" w:eastAsia="等线" w:cs="等线"/>
      <w:color w:val="000000"/>
      <w:sz w:val="28"/>
      <w:szCs w:val="28"/>
      <w:u w:val="none"/>
    </w:rPr>
  </w:style>
  <w:style w:type="character" w:customStyle="1" w:styleId="47">
    <w:name w:val="font01"/>
    <w:basedOn w:val="25"/>
    <w:qFormat/>
    <w:uiPriority w:val="0"/>
    <w:rPr>
      <w:rFonts w:hint="default" w:ascii="等线" w:hAnsi="等线" w:eastAsia="等线" w:cs="等线"/>
      <w:b/>
      <w:color w:val="000000"/>
      <w:sz w:val="28"/>
      <w:szCs w:val="28"/>
      <w:u w:val="none"/>
    </w:rPr>
  </w:style>
  <w:style w:type="paragraph" w:customStyle="1" w:styleId="48">
    <w:name w:val="Table Paragraph"/>
    <w:basedOn w:val="1"/>
    <w:qFormat/>
    <w:uiPriority w:val="1"/>
    <w:pPr>
      <w:spacing w:before="135"/>
      <w:ind w:left="40"/>
    </w:pPr>
    <w:rPr>
      <w:rFonts w:ascii="仿宋" w:hAnsi="仿宋" w:eastAsia="仿宋" w:cs="仿宋"/>
      <w:lang w:val="zh-CN" w:bidi="zh-CN"/>
    </w:rPr>
  </w:style>
  <w:style w:type="paragraph" w:customStyle="1" w:styleId="4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Cs w:val="0"/>
      <w:sz w:val="28"/>
      <w:szCs w:val="20"/>
    </w:rPr>
  </w:style>
  <w:style w:type="paragraph" w:customStyle="1" w:styleId="50">
    <w:name w:val="l正文"/>
    <w:next w:val="7"/>
    <w:qFormat/>
    <w:uiPriority w:val="0"/>
    <w:pPr>
      <w:widowControl w:val="0"/>
      <w:spacing w:line="300" w:lineRule="auto"/>
      <w:ind w:firstLine="200" w:firstLineChars="200"/>
      <w:jc w:val="both"/>
    </w:pPr>
    <w:rPr>
      <w:rFonts w:ascii="楷体_GB2312" w:hAnsi="Times New Roman" w:eastAsia="楷体_GB2312" w:cs="等线"/>
      <w:kern w:val="2"/>
      <w:sz w:val="24"/>
      <w:lang w:val="en-US" w:eastAsia="zh-CN" w:bidi="ar-SA"/>
    </w:rPr>
  </w:style>
  <w:style w:type="table" w:customStyle="1" w:styleId="51">
    <w:name w:val="Table Normal"/>
    <w:qFormat/>
    <w:uiPriority w:val="2"/>
    <w:tblPr>
      <w:tblCellMar>
        <w:top w:w="0" w:type="dxa"/>
        <w:left w:w="0" w:type="dxa"/>
        <w:bottom w:w="0" w:type="dxa"/>
        <w:right w:w="0" w:type="dxa"/>
      </w:tblCellMar>
    </w:tblPr>
  </w:style>
  <w:style w:type="paragraph" w:customStyle="1" w:styleId="52">
    <w:name w:val="WPSOffice手动目录 2"/>
    <w:qFormat/>
    <w:uiPriority w:val="0"/>
    <w:pPr>
      <w:ind w:leftChars="200"/>
    </w:pPr>
    <w:rPr>
      <w:rFonts w:ascii="Times New Roman" w:hAnsi="Times New Roman" w:eastAsia="宋体" w:cs="Times New Roman"/>
      <w:sz w:val="20"/>
      <w:szCs w:val="20"/>
    </w:rPr>
  </w:style>
  <w:style w:type="paragraph" w:styleId="53">
    <w:name w:val="No Spacing"/>
    <w:autoRedefine/>
    <w:qFormat/>
    <w:uiPriority w:val="1"/>
    <w:pPr>
      <w:widowControl w:val="0"/>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0C79B-3E0F-44E1-A8A2-AC29CBFD7A6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311</Words>
  <Characters>346</Characters>
  <Lines>27</Lines>
  <Paragraphs>40</Paragraphs>
  <TotalTime>5</TotalTime>
  <ScaleCrop>false</ScaleCrop>
  <LinksUpToDate>false</LinksUpToDate>
  <CharactersWithSpaces>424</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2018-10-13T10:28:00Z</dcterms:created>
  <dc:creator>Administrator</dc:creator>
  <cp:lastModifiedBy>user</cp:lastModifiedBy>
  <cp:lastPrinted>2023-05-13T11:28:00Z</cp:lastPrinted>
  <dcterms:modified xsi:type="dcterms:W3CDTF">2025-09-08T09:28:17Z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82BC6147399334333131BE6818B9EA32_43</vt:lpwstr>
  </property>
  <property fmtid="{D5CDD505-2E9C-101B-9397-08002B2CF9AE}" pid="4" name="KSOTemplateDocerSaveRecord">
    <vt:lpwstr>eyJoZGlkIjoiMzRmZTFjODM0YjMzN2QyNGViMTdiOTg5NTA2MjI2MDgifQ==</vt:lpwstr>
  </property>
</Properties>
</file>