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80C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jc w:val="center"/>
        <w:textAlignment w:val="baseline"/>
        <w:outlineLvl w:val="9"/>
        <w:rPr>
          <w:rFonts w:hint="eastAsia" w:ascii="方正小标宋简体" w:hAnsi="方正小标宋简体" w:eastAsia="方正小标宋简体" w:cs="方正小标宋简体"/>
          <w:spacing w:val="0"/>
          <w:sz w:val="36"/>
          <w:szCs w:val="36"/>
        </w:rPr>
      </w:pPr>
      <w:bookmarkStart w:id="0" w:name="_GoBack"/>
      <w:r>
        <w:rPr>
          <w:rFonts w:hint="eastAsia" w:ascii="方正小标宋简体" w:hAnsi="方正小标宋简体" w:eastAsia="方正小标宋简体" w:cs="方正小标宋简体"/>
          <w:spacing w:val="0"/>
          <w:sz w:val="36"/>
          <w:szCs w:val="36"/>
          <w:lang w:val="en-US" w:eastAsia="zh-CN"/>
        </w:rPr>
        <w:t>关于服务支点建设</w:t>
      </w:r>
      <w:r>
        <w:rPr>
          <w:rFonts w:hint="eastAsia" w:ascii="方正小标宋简体" w:hAnsi="方正小标宋简体" w:eastAsia="方正小标宋简体" w:cs="方正小标宋简体"/>
          <w:spacing w:val="0"/>
          <w:sz w:val="36"/>
          <w:szCs w:val="36"/>
        </w:rPr>
        <w:t>支持“一都四地”产业发展若干政策措施</w:t>
      </w:r>
    </w:p>
    <w:bookmarkEnd w:id="0"/>
    <w:p w14:paraId="76589BE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jc w:val="center"/>
        <w:textAlignment w:val="baseline"/>
        <w:outlineLvl w:val="9"/>
        <w:rPr>
          <w:rFonts w:hint="eastAsia" w:ascii="楷体_GB2312" w:hAnsi="楷体_GB2312" w:eastAsia="楷体_GB2312" w:cs="楷体_GB2312"/>
          <w:b w:val="0"/>
          <w:bCs w:val="0"/>
          <w:color w:val="212529"/>
          <w:spacing w:val="0"/>
          <w:sz w:val="32"/>
          <w:szCs w:val="32"/>
          <w:lang w:eastAsia="zh-CN"/>
        </w:rPr>
      </w:pPr>
      <w:r>
        <w:rPr>
          <w:rFonts w:hint="eastAsia" w:ascii="楷体_GB2312" w:hAnsi="楷体_GB2312" w:eastAsia="楷体_GB2312" w:cs="楷体_GB2312"/>
          <w:b w:val="0"/>
          <w:bCs w:val="0"/>
          <w:color w:val="212529"/>
          <w:spacing w:val="0"/>
          <w:sz w:val="32"/>
          <w:szCs w:val="32"/>
          <w:lang w:eastAsia="zh-CN"/>
        </w:rPr>
        <w:t>（</w:t>
      </w:r>
      <w:r>
        <w:rPr>
          <w:rFonts w:hint="eastAsia" w:ascii="楷体_GB2312" w:hAnsi="楷体_GB2312" w:eastAsia="楷体_GB2312" w:cs="楷体_GB2312"/>
          <w:b w:val="0"/>
          <w:bCs w:val="0"/>
          <w:color w:val="212529"/>
          <w:spacing w:val="0"/>
          <w:sz w:val="32"/>
          <w:szCs w:val="32"/>
          <w:lang w:val="en-US" w:eastAsia="zh-CN"/>
        </w:rPr>
        <w:t>征求意见稿</w:t>
      </w:r>
      <w:r>
        <w:rPr>
          <w:rFonts w:hint="eastAsia" w:ascii="楷体_GB2312" w:hAnsi="楷体_GB2312" w:eastAsia="楷体_GB2312" w:cs="楷体_GB2312"/>
          <w:b w:val="0"/>
          <w:bCs w:val="0"/>
          <w:color w:val="212529"/>
          <w:spacing w:val="0"/>
          <w:sz w:val="32"/>
          <w:szCs w:val="32"/>
          <w:lang w:eastAsia="zh-CN"/>
        </w:rPr>
        <w:t>）</w:t>
      </w:r>
    </w:p>
    <w:p w14:paraId="5D714224">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仿宋_GB2312" w:eastAsia="仿宋_GB2312" w:cs="仿宋_GB2312"/>
          <w:color w:val="212529"/>
          <w:spacing w:val="0"/>
          <w:sz w:val="32"/>
          <w:szCs w:val="32"/>
        </w:rPr>
      </w:pPr>
    </w:p>
    <w:p w14:paraId="0404935B">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仿宋_GB2312" w:eastAsia="仿宋_GB2312" w:cs="仿宋_GB2312"/>
          <w:color w:val="212529"/>
          <w:spacing w:val="0"/>
          <w:sz w:val="32"/>
          <w:szCs w:val="32"/>
        </w:rPr>
      </w:pPr>
      <w:r>
        <w:rPr>
          <w:rFonts w:hint="eastAsia" w:ascii="仿宋_GB2312" w:hAnsi="仿宋_GB2312" w:eastAsia="仿宋_GB2312" w:cs="仿宋_GB2312"/>
          <w:color w:val="212529"/>
          <w:spacing w:val="0"/>
          <w:sz w:val="32"/>
          <w:szCs w:val="32"/>
        </w:rPr>
        <w:t>为贯彻落实《省加快建成中部地区重要战略支点领导小组办公室关于印发&lt;加快建成支点推动经济高质量发展的若干政策（2025年）&gt;的通知》(鄂支点办发</w:t>
      </w:r>
      <w:r>
        <w:rPr>
          <w:rFonts w:hint="eastAsia" w:ascii="宋体" w:hAnsi="宋体" w:eastAsia="宋体" w:cs="宋体"/>
          <w:color w:val="212529"/>
          <w:spacing w:val="0"/>
          <w:sz w:val="32"/>
          <w:szCs w:val="32"/>
        </w:rPr>
        <w:t>〔</w:t>
      </w:r>
      <w:r>
        <w:rPr>
          <w:rFonts w:hint="eastAsia" w:ascii="仿宋_GB2312" w:hAnsi="仿宋_GB2312" w:eastAsia="仿宋_GB2312" w:cs="仿宋_GB2312"/>
          <w:color w:val="212529"/>
          <w:spacing w:val="0"/>
          <w:sz w:val="32"/>
          <w:szCs w:val="32"/>
        </w:rPr>
        <w:t>2025</w:t>
      </w:r>
      <w:r>
        <w:rPr>
          <w:rFonts w:hint="eastAsia" w:ascii="宋体" w:hAnsi="宋体" w:eastAsia="宋体" w:cs="宋体"/>
          <w:color w:val="212529"/>
          <w:spacing w:val="0"/>
          <w:sz w:val="32"/>
          <w:szCs w:val="32"/>
        </w:rPr>
        <w:t>〕</w:t>
      </w:r>
      <w:r>
        <w:rPr>
          <w:rFonts w:hint="eastAsia" w:ascii="仿宋_GB2312" w:hAnsi="仿宋_GB2312" w:eastAsia="仿宋_GB2312" w:cs="仿宋_GB2312"/>
          <w:color w:val="212529"/>
          <w:spacing w:val="0"/>
          <w:sz w:val="32"/>
          <w:szCs w:val="32"/>
        </w:rPr>
        <w:t>3号</w:t>
      </w:r>
      <w:r>
        <w:rPr>
          <w:rFonts w:hint="eastAsia" w:ascii="仿宋_GB2312" w:hAnsi="仿宋_GB2312" w:eastAsia="仿宋_GB2312" w:cs="仿宋_GB2312"/>
          <w:color w:val="212529"/>
          <w:spacing w:val="0"/>
          <w:sz w:val="32"/>
          <w:szCs w:val="32"/>
          <w:lang w:eastAsia="zh-CN"/>
        </w:rPr>
        <w:t>）</w:t>
      </w:r>
      <w:r>
        <w:rPr>
          <w:rFonts w:hint="eastAsia" w:ascii="仿宋_GB2312" w:hAnsi="仿宋_GB2312" w:eastAsia="仿宋_GB2312" w:cs="仿宋_GB2312"/>
          <w:color w:val="212529"/>
          <w:spacing w:val="0"/>
          <w:sz w:val="32"/>
          <w:szCs w:val="32"/>
        </w:rPr>
        <w:t>，整体提升服务支点建设的产业竞争力，加快建成“一都四地”</w:t>
      </w:r>
      <w:r>
        <w:rPr>
          <w:rFonts w:hint="eastAsia" w:ascii="仿宋_GB2312" w:hAnsi="仿宋_GB2312" w:eastAsia="仿宋_GB2312" w:cs="仿宋_GB2312"/>
          <w:color w:val="212529"/>
          <w:spacing w:val="0"/>
          <w:sz w:val="32"/>
          <w:szCs w:val="32"/>
          <w:lang w:eastAsia="zh-CN"/>
        </w:rPr>
        <w:t>，</w:t>
      </w:r>
      <w:r>
        <w:rPr>
          <w:rFonts w:hint="eastAsia" w:ascii="仿宋_GB2312" w:hAnsi="仿宋_GB2312" w:eastAsia="仿宋_GB2312" w:cs="仿宋_GB2312"/>
          <w:color w:val="212529"/>
          <w:spacing w:val="0"/>
          <w:sz w:val="32"/>
          <w:szCs w:val="32"/>
        </w:rPr>
        <w:t>结合竹山实际，制定以下政策措施。</w:t>
      </w:r>
    </w:p>
    <w:p w14:paraId="3148AAF4">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黑体" w:hAnsi="黑体" w:eastAsia="黑体" w:cs="黑体"/>
          <w:spacing w:val="0"/>
          <w:sz w:val="32"/>
          <w:szCs w:val="32"/>
        </w:rPr>
      </w:pPr>
      <w:r>
        <w:rPr>
          <w:rFonts w:hint="eastAsia" w:ascii="黑体" w:hAnsi="黑体" w:eastAsia="黑体" w:cs="黑体"/>
          <w:color w:val="212529"/>
          <w:spacing w:val="0"/>
          <w:sz w:val="32"/>
          <w:szCs w:val="32"/>
        </w:rPr>
        <w:t>一、聚焦投资融资，深化财政金融联动</w:t>
      </w:r>
    </w:p>
    <w:p w14:paraId="08E9A4B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212529"/>
          <w:spacing w:val="0"/>
          <w:sz w:val="32"/>
          <w:szCs w:val="32"/>
        </w:rPr>
        <w:t>（一）优化政府性融资担保增信体系。</w:t>
      </w:r>
      <w:r>
        <w:rPr>
          <w:rFonts w:hint="eastAsia" w:ascii="仿宋_GB2312" w:hAnsi="仿宋_GB2312" w:eastAsia="仿宋_GB2312" w:cs="仿宋_GB2312"/>
          <w:sz w:val="32"/>
          <w:szCs w:val="32"/>
          <w:lang w:val="en-US" w:eastAsia="zh-CN"/>
        </w:rPr>
        <w:t>县财政对政府性融资担保公司除持续补充资本金外，每年统筹资金1000万元用于风险补偿、保费补贴和业务奖补资金，提高政府性融资担保公司抗风险能力和持续经营能力。推广实施“科技创新贷”“产业升级贷”“再担助农贷”“十星惠农贷”专项融资担保产品，县财政每年统筹资金用于贷款贴息，降低农户及小微企业融资成本，增加农户及小微企业贷款意愿。落实政府性融资担保公司尽职免责容错机制，将代偿率上限调整至5%。成立融资联席会议机制，集中会商、集体决策，提高融资效率。成立公检法司联合追偿小组，建立金融法庭速裁及追缴通道，提高担保公司追偿率。</w:t>
      </w:r>
    </w:p>
    <w:p w14:paraId="349D6D3B">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2"/>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color w:val="212529"/>
          <w:spacing w:val="0"/>
          <w:sz w:val="32"/>
          <w:szCs w:val="32"/>
        </w:rPr>
        <w:t>（二）打造两百亿产业投资基金群。</w:t>
      </w:r>
      <w:r>
        <w:rPr>
          <w:rFonts w:hint="eastAsia" w:ascii="仿宋_GB2312" w:hAnsi="仿宋_GB2312" w:eastAsia="仿宋_GB2312" w:cs="仿宋_GB2312"/>
          <w:color w:val="212529"/>
          <w:spacing w:val="0"/>
          <w:sz w:val="32"/>
          <w:szCs w:val="32"/>
        </w:rPr>
        <w:t>管好用好竹山长证产业引导基金，聚焦“</w:t>
      </w:r>
      <w:r>
        <w:rPr>
          <w:rFonts w:hint="eastAsia" w:ascii="仿宋_GB2312" w:hAnsi="仿宋_GB2312" w:eastAsia="仿宋_GB2312" w:cs="仿宋_GB2312"/>
          <w:color w:val="212529"/>
          <w:spacing w:val="0"/>
          <w:sz w:val="32"/>
          <w:szCs w:val="32"/>
          <w:lang w:val="en-US" w:eastAsia="zh-CN"/>
        </w:rPr>
        <w:t>两个千亿、三</w:t>
      </w:r>
      <w:r>
        <w:rPr>
          <w:rFonts w:hint="eastAsia" w:ascii="仿宋_GB2312" w:hAnsi="仿宋_GB2312" w:eastAsia="仿宋_GB2312" w:cs="仿宋_GB2312"/>
          <w:color w:val="212529"/>
          <w:spacing w:val="0"/>
          <w:sz w:val="32"/>
          <w:szCs w:val="32"/>
        </w:rPr>
        <w:t>个百亿”产业设立专项子基金，加大</w:t>
      </w:r>
      <w:r>
        <w:rPr>
          <w:rFonts w:hint="eastAsia" w:ascii="仿宋_GB2312" w:hAnsi="仿宋_GB2312" w:eastAsia="仿宋_GB2312" w:cs="仿宋_GB2312"/>
          <w:color w:val="212529"/>
          <w:spacing w:val="0"/>
          <w:sz w:val="32"/>
          <w:szCs w:val="32"/>
          <w:lang w:val="en-US" w:eastAsia="zh-CN"/>
        </w:rPr>
        <w:t>对</w:t>
      </w:r>
      <w:r>
        <w:rPr>
          <w:rFonts w:hint="eastAsia" w:ascii="仿宋_GB2312" w:hAnsi="仿宋_GB2312" w:eastAsia="仿宋_GB2312" w:cs="仿宋_GB2312"/>
          <w:color w:val="212529"/>
          <w:spacing w:val="0"/>
          <w:sz w:val="32"/>
          <w:szCs w:val="32"/>
        </w:rPr>
        <w:t>卫浴产业、循环经济等产业的支持力度，培育产业龙头、专精特新“小巨人”等重点企业。融入十堰市武当产业引导基金体系，出资1000万元认购武当产业引导基金，设立县级子基金。</w:t>
      </w:r>
    </w:p>
    <w:p w14:paraId="430F9FC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212529"/>
          <w:spacing w:val="0"/>
          <w:sz w:val="32"/>
          <w:szCs w:val="32"/>
        </w:rPr>
        <w:t>（三）强化农业融资精准支持。</w:t>
      </w:r>
      <w:r>
        <w:rPr>
          <w:rFonts w:hint="eastAsia" w:ascii="仿宋_GB2312" w:hAnsi="仿宋_GB2312" w:eastAsia="仿宋_GB2312" w:cs="仿宋_GB2312"/>
          <w:sz w:val="32"/>
          <w:szCs w:val="32"/>
          <w:lang w:val="en-US" w:eastAsia="zh-CN"/>
        </w:rPr>
        <w:t>支持农业重点产业保险增品、扩面、提质。争取省、市级财政特色农业保险补贴政策资金，县级财政统筹资金按45%给予保费补贴，实现特色农业保险保费综合补贴率达到60%。在全县推广茶叶、设施渔业等各类特色农业、林业保险，开发“绿色农产品品质险”等地方特色产业保险，提升保险覆盖面及服务质效。</w:t>
      </w:r>
    </w:p>
    <w:p w14:paraId="0A63747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1"/>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color w:val="212529"/>
          <w:spacing w:val="0"/>
          <w:sz w:val="32"/>
          <w:szCs w:val="32"/>
        </w:rPr>
        <w:t>（四）实施信用贷款风险补偿和贴息。</w:t>
      </w:r>
      <w:r>
        <w:rPr>
          <w:rFonts w:hint="eastAsia" w:ascii="仿宋_GB2312" w:hAnsi="仿宋_GB2312" w:eastAsia="仿宋_GB2312" w:cs="仿宋_GB2312"/>
          <w:color w:val="212529"/>
          <w:spacing w:val="0"/>
          <w:sz w:val="32"/>
          <w:szCs w:val="32"/>
        </w:rPr>
        <w:t>县级财政每年统筹相关专项资金</w:t>
      </w:r>
      <w:r>
        <w:rPr>
          <w:rFonts w:hint="eastAsia" w:ascii="仿宋_GB2312" w:hAnsi="仿宋_GB2312" w:eastAsia="仿宋_GB2312" w:cs="仿宋_GB2312"/>
          <w:color w:val="212529"/>
          <w:spacing w:val="0"/>
          <w:sz w:val="32"/>
          <w:szCs w:val="32"/>
          <w:lang w:val="en-US" w:eastAsia="zh-CN"/>
        </w:rPr>
        <w:t>5</w:t>
      </w:r>
      <w:r>
        <w:rPr>
          <w:rFonts w:hint="eastAsia" w:ascii="仿宋_GB2312" w:hAnsi="仿宋_GB2312" w:eastAsia="仿宋_GB2312" w:cs="仿宋_GB2312"/>
          <w:color w:val="212529"/>
          <w:spacing w:val="0"/>
          <w:sz w:val="32"/>
          <w:szCs w:val="32"/>
        </w:rPr>
        <w:t>00万元，引导和激励金融机构推广信用贷款。</w:t>
      </w:r>
      <w:r>
        <w:rPr>
          <w:rFonts w:hint="eastAsia" w:ascii="仿宋_GB2312" w:hAnsi="仿宋_GB2312" w:eastAsia="仿宋_GB2312" w:cs="仿宋_GB2312"/>
          <w:b/>
          <w:bCs/>
          <w:color w:val="212529"/>
          <w:spacing w:val="0"/>
          <w:sz w:val="32"/>
          <w:szCs w:val="32"/>
        </w:rPr>
        <w:t>一是</w:t>
      </w:r>
      <w:r>
        <w:rPr>
          <w:rFonts w:hint="eastAsia" w:ascii="仿宋_GB2312" w:hAnsi="仿宋_GB2312" w:eastAsia="仿宋_GB2312" w:cs="仿宋_GB2312"/>
          <w:color w:val="212529"/>
          <w:spacing w:val="0"/>
          <w:sz w:val="32"/>
          <w:szCs w:val="32"/>
        </w:rPr>
        <w:t>建立财政风险补偿金资金池，实行财政与银行按一定比例风险分担机制，鼓励相关金融机构开发科技型企业知识价值信用贷款、科技人才贷款等各类信用贷款产品，支持符合条件的百亿产业企业开展重大技术改造、数字化转型、技术研发、高端人才引进等。</w:t>
      </w:r>
      <w:r>
        <w:rPr>
          <w:rFonts w:hint="eastAsia" w:ascii="仿宋_GB2312" w:hAnsi="仿宋_GB2312" w:eastAsia="仿宋_GB2312" w:cs="仿宋_GB2312"/>
          <w:b/>
          <w:bCs/>
          <w:color w:val="212529"/>
          <w:spacing w:val="0"/>
          <w:sz w:val="32"/>
          <w:szCs w:val="32"/>
        </w:rPr>
        <w:t>二是</w:t>
      </w:r>
      <w:r>
        <w:rPr>
          <w:rFonts w:hint="eastAsia" w:ascii="仿宋_GB2312" w:hAnsi="仿宋_GB2312" w:eastAsia="仿宋_GB2312" w:cs="仿宋_GB2312"/>
          <w:color w:val="212529"/>
          <w:spacing w:val="0"/>
          <w:sz w:val="32"/>
          <w:szCs w:val="32"/>
        </w:rPr>
        <w:t>对符合条件的</w:t>
      </w:r>
      <w:r>
        <w:rPr>
          <w:rFonts w:hint="eastAsia" w:ascii="仿宋_GB2312" w:hAnsi="仿宋_GB2312" w:eastAsia="仿宋_GB2312" w:cs="仿宋_GB2312"/>
          <w:color w:val="212529"/>
          <w:spacing w:val="0"/>
          <w:sz w:val="32"/>
          <w:szCs w:val="32"/>
          <w:lang w:val="en-US" w:eastAsia="zh-CN"/>
        </w:rPr>
        <w:t>重点</w:t>
      </w:r>
      <w:r>
        <w:rPr>
          <w:rFonts w:hint="eastAsia" w:ascii="仿宋_GB2312" w:hAnsi="仿宋_GB2312" w:eastAsia="仿宋_GB2312" w:cs="仿宋_GB2312"/>
          <w:color w:val="212529"/>
          <w:spacing w:val="0"/>
          <w:sz w:val="32"/>
          <w:szCs w:val="32"/>
        </w:rPr>
        <w:t>产业企业新增信用贷款，给予不超过年化利率1%贴息补助</w:t>
      </w:r>
      <w:r>
        <w:rPr>
          <w:rFonts w:hint="eastAsia" w:ascii="仿宋_GB2312" w:hAnsi="仿宋_GB2312" w:eastAsia="仿宋_GB2312" w:cs="仿宋_GB2312"/>
          <w:color w:val="212529"/>
          <w:spacing w:val="0"/>
          <w:sz w:val="32"/>
          <w:szCs w:val="32"/>
          <w:lang w:eastAsia="zh-CN"/>
        </w:rPr>
        <w:t>。</w:t>
      </w:r>
      <w:r>
        <w:rPr>
          <w:rFonts w:hint="eastAsia" w:ascii="仿宋_GB2312" w:hAnsi="仿宋_GB2312" w:eastAsia="仿宋_GB2312" w:cs="仿宋_GB2312"/>
          <w:color w:val="212529"/>
          <w:spacing w:val="0"/>
          <w:sz w:val="32"/>
          <w:szCs w:val="32"/>
        </w:rPr>
        <w:t>对科技人才贷款，给予年化利率1%贴息补助，每位人才年贴息总额最高不超过5万元。</w:t>
      </w:r>
    </w:p>
    <w:p w14:paraId="49713C1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黑体" w:hAnsi="黑体" w:eastAsia="黑体" w:cs="黑体"/>
          <w:color w:val="212529"/>
          <w:spacing w:val="0"/>
          <w:sz w:val="32"/>
          <w:szCs w:val="32"/>
          <w:lang w:val="en-US" w:eastAsia="zh-CN"/>
        </w:rPr>
      </w:pPr>
      <w:r>
        <w:rPr>
          <w:rFonts w:hint="eastAsia" w:ascii="黑体" w:hAnsi="黑体" w:eastAsia="黑体" w:cs="黑体"/>
          <w:color w:val="212529"/>
          <w:spacing w:val="0"/>
          <w:sz w:val="32"/>
          <w:szCs w:val="32"/>
        </w:rPr>
        <w:t>二、聚焦物流成本，助力企业全面降本增</w:t>
      </w:r>
      <w:r>
        <w:rPr>
          <w:rFonts w:hint="eastAsia" w:ascii="黑体" w:hAnsi="黑体" w:eastAsia="黑体" w:cs="黑体"/>
          <w:color w:val="212529"/>
          <w:spacing w:val="0"/>
          <w:sz w:val="32"/>
          <w:szCs w:val="32"/>
          <w:lang w:val="en-US" w:eastAsia="zh-CN"/>
        </w:rPr>
        <w:t>效</w:t>
      </w:r>
    </w:p>
    <w:p w14:paraId="3F46A2C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楷体_GB2312" w:hAnsi="楷体_GB2312" w:eastAsia="楷体_GB2312" w:cs="楷体_GB2312"/>
          <w:b/>
          <w:bCs/>
          <w:snapToGrid w:val="0"/>
          <w:color w:val="212529"/>
          <w:spacing w:val="0"/>
          <w:kern w:val="0"/>
          <w:sz w:val="32"/>
          <w:szCs w:val="32"/>
          <w:lang w:val="en-US" w:eastAsia="en-US" w:bidi="ar-SA"/>
        </w:rPr>
      </w:pPr>
      <w:r>
        <w:rPr>
          <w:rFonts w:hint="eastAsia" w:ascii="楷体_GB2312" w:hAnsi="楷体_GB2312" w:eastAsia="楷体_GB2312" w:cs="楷体_GB2312"/>
          <w:b/>
          <w:bCs/>
          <w:snapToGrid w:val="0"/>
          <w:color w:val="212529"/>
          <w:spacing w:val="0"/>
          <w:kern w:val="0"/>
          <w:sz w:val="32"/>
          <w:szCs w:val="32"/>
          <w:lang w:val="en-US" w:eastAsia="en-US" w:bidi="ar-SA"/>
        </w:rPr>
        <w:t>（五）支持“竹山生产”跨县外销</w:t>
      </w:r>
    </w:p>
    <w:p w14:paraId="4D45A313">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both"/>
        <w:textAlignment w:val="baseline"/>
        <w:outlineLvl w:val="9"/>
        <w:rPr>
          <w:rFonts w:hint="eastAsia" w:ascii="仿宋_GB2312" w:hAnsi="仿宋_GB2312" w:eastAsia="仿宋_GB2312" w:cs="仿宋_GB2312"/>
          <w:color w:val="212529"/>
          <w:spacing w:val="0"/>
          <w:sz w:val="32"/>
          <w:szCs w:val="32"/>
        </w:rPr>
      </w:pPr>
      <w:r>
        <w:rPr>
          <w:rFonts w:hint="eastAsia" w:ascii="仿宋_GB2312" w:hAnsi="仿宋_GB2312" w:eastAsia="仿宋_GB2312" w:cs="仿宋_GB2312"/>
          <w:b/>
          <w:bCs/>
          <w:snapToGrid w:val="0"/>
          <w:color w:val="212529"/>
          <w:spacing w:val="0"/>
          <w:kern w:val="0"/>
          <w:sz w:val="32"/>
          <w:szCs w:val="32"/>
          <w:lang w:val="en-US" w:eastAsia="en-US" w:bidi="ar-SA"/>
        </w:rPr>
        <w:t>1.降低卫浴轻工等制造业物流成本。</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val="en-US" w:eastAsia="zh-CN"/>
        </w:rPr>
        <w:t>年</w:t>
      </w:r>
      <w:r>
        <w:rPr>
          <w:rFonts w:hint="eastAsia" w:ascii="仿宋_GB2312" w:hAnsi="仿宋_GB2312" w:eastAsia="仿宋_GB2312" w:cs="仿宋_GB2312"/>
          <w:spacing w:val="0"/>
          <w:sz w:val="32"/>
          <w:szCs w:val="32"/>
        </w:rPr>
        <w:t>营业收入</w:t>
      </w:r>
      <w:r>
        <w:rPr>
          <w:rFonts w:hint="eastAsia" w:ascii="仿宋_GB2312" w:hAnsi="仿宋_GB2312" w:eastAsia="仿宋_GB2312" w:cs="仿宋_GB2312"/>
          <w:spacing w:val="0"/>
          <w:sz w:val="32"/>
          <w:szCs w:val="32"/>
          <w:lang w:val="en-US" w:eastAsia="zh-CN"/>
        </w:rPr>
        <w:t>达到5000万</w:t>
      </w:r>
      <w:r>
        <w:rPr>
          <w:rFonts w:hint="eastAsia" w:ascii="仿宋_GB2312" w:hAnsi="仿宋_GB2312" w:eastAsia="仿宋_GB2312" w:cs="仿宋_GB2312"/>
          <w:spacing w:val="0"/>
          <w:sz w:val="32"/>
          <w:szCs w:val="32"/>
        </w:rPr>
        <w:t>元以上（含）</w:t>
      </w:r>
      <w:r>
        <w:rPr>
          <w:rFonts w:hint="eastAsia" w:ascii="仿宋_GB2312" w:hAnsi="仿宋_GB2312" w:eastAsia="仿宋_GB2312" w:cs="仿宋_GB2312"/>
          <w:spacing w:val="0"/>
          <w:sz w:val="32"/>
          <w:szCs w:val="32"/>
          <w:lang w:val="en-US" w:eastAsia="zh-CN"/>
        </w:rPr>
        <w:t>且</w:t>
      </w:r>
      <w:r>
        <w:rPr>
          <w:rFonts w:hint="eastAsia" w:ascii="仿宋_GB2312" w:hAnsi="仿宋_GB2312" w:eastAsia="仿宋_GB2312" w:cs="仿宋_GB2312"/>
          <w:spacing w:val="0"/>
          <w:sz w:val="32"/>
          <w:szCs w:val="32"/>
        </w:rPr>
        <w:t>外销占比不低于30%的加工类企业，按照季度实际发生物流运输成本的3%给予奖补，单个企业每年奖补最高不超过100万元；对年营业收入5亿元以上（含）</w:t>
      </w:r>
      <w:r>
        <w:rPr>
          <w:rFonts w:hint="eastAsia" w:ascii="仿宋_GB2312" w:hAnsi="仿宋_GB2312" w:eastAsia="仿宋_GB2312" w:cs="仿宋_GB2312"/>
          <w:spacing w:val="0"/>
          <w:sz w:val="32"/>
          <w:szCs w:val="32"/>
          <w:lang w:val="en-US" w:eastAsia="zh-CN"/>
        </w:rPr>
        <w:t>且</w:t>
      </w:r>
      <w:r>
        <w:rPr>
          <w:rFonts w:hint="eastAsia" w:ascii="仿宋_GB2312" w:hAnsi="仿宋_GB2312" w:eastAsia="仿宋_GB2312" w:cs="仿宋_GB2312"/>
          <w:spacing w:val="0"/>
          <w:sz w:val="32"/>
          <w:szCs w:val="32"/>
        </w:rPr>
        <w:t>外销占比不低于30%的循环经济企业，按照季度实际发生物流运输成本的3%给予奖补，单个企业每年奖补最高不超过200万元；对销售额超过1亿元且外销占比不低于30%的贸易类企业，按照季度实际发生物流运输成本的3%给予补贴，单个企业每年奖补最高不超过200万元</w:t>
      </w:r>
      <w:r>
        <w:rPr>
          <w:rFonts w:hint="eastAsia" w:ascii="仿宋_GB2312" w:hAnsi="仿宋_GB2312" w:eastAsia="仿宋_GB2312" w:cs="仿宋_GB2312"/>
          <w:color w:val="212529"/>
          <w:spacing w:val="0"/>
          <w:sz w:val="32"/>
          <w:szCs w:val="32"/>
        </w:rPr>
        <w:t>。</w:t>
      </w:r>
    </w:p>
    <w:p w14:paraId="0CE9FCB3">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212529"/>
          <w:spacing w:val="0"/>
          <w:sz w:val="32"/>
          <w:szCs w:val="32"/>
          <w:lang w:eastAsia="zh-CN"/>
        </w:rPr>
      </w:pPr>
      <w:r>
        <w:rPr>
          <w:rFonts w:hint="eastAsia" w:ascii="仿宋_GB2312" w:hAnsi="仿宋_GB2312" w:eastAsia="仿宋_GB2312" w:cs="仿宋_GB2312"/>
          <w:b/>
          <w:bCs/>
          <w:snapToGrid w:val="0"/>
          <w:color w:val="212529"/>
          <w:spacing w:val="0"/>
          <w:kern w:val="0"/>
          <w:sz w:val="32"/>
          <w:szCs w:val="32"/>
          <w:lang w:val="en-US" w:eastAsia="en-US" w:bidi="ar-SA"/>
        </w:rPr>
        <w:t>2.降低商贸企业物流成本。</w:t>
      </w:r>
      <w:r>
        <w:rPr>
          <w:rFonts w:hint="eastAsia" w:ascii="仿宋_GB2312" w:hAnsi="仿宋_GB2312" w:eastAsia="仿宋_GB2312" w:cs="仿宋_GB2312"/>
          <w:spacing w:val="0"/>
          <w:sz w:val="32"/>
          <w:szCs w:val="32"/>
          <w:lang w:val="en-US" w:eastAsia="zh-CN"/>
        </w:rPr>
        <w:t>对年度销售额超过2500万元且外销占比不低于5%的零售业企业，</w:t>
      </w:r>
      <w:r>
        <w:rPr>
          <w:rFonts w:hint="eastAsia" w:ascii="仿宋_GB2312" w:hAnsi="仿宋_GB2312" w:eastAsia="仿宋_GB2312" w:cs="仿宋_GB2312"/>
          <w:spacing w:val="0"/>
          <w:sz w:val="32"/>
          <w:szCs w:val="32"/>
        </w:rPr>
        <w:t>按照季度实际发生物流运输成本的3%给予补贴，单个企业每年</w:t>
      </w:r>
      <w:r>
        <w:rPr>
          <w:rFonts w:hint="eastAsia" w:ascii="仿宋_GB2312" w:hAnsi="仿宋_GB2312" w:eastAsia="仿宋_GB2312" w:cs="仿宋_GB2312"/>
          <w:color w:val="212529"/>
          <w:spacing w:val="0"/>
          <w:sz w:val="32"/>
          <w:szCs w:val="32"/>
        </w:rPr>
        <w:t>奖补最高不超过10万元。本条政策按季核算兑现</w:t>
      </w:r>
      <w:r>
        <w:rPr>
          <w:rFonts w:hint="eastAsia" w:ascii="仿宋_GB2312" w:hAnsi="仿宋_GB2312" w:eastAsia="仿宋_GB2312" w:cs="仿宋_GB2312"/>
          <w:color w:val="212529"/>
          <w:spacing w:val="0"/>
          <w:sz w:val="32"/>
          <w:szCs w:val="32"/>
          <w:lang w:eastAsia="zh-CN"/>
        </w:rPr>
        <w:t>。</w:t>
      </w:r>
    </w:p>
    <w:p w14:paraId="1DFF504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napToGrid w:val="0"/>
          <w:color w:val="212529"/>
          <w:spacing w:val="0"/>
          <w:kern w:val="0"/>
          <w:sz w:val="32"/>
          <w:szCs w:val="32"/>
          <w:lang w:val="en-US" w:eastAsia="en-US" w:bidi="ar-SA"/>
        </w:rPr>
        <w:t>3.支持企业市场拓展。</w:t>
      </w:r>
      <w:r>
        <w:rPr>
          <w:rFonts w:hint="eastAsia" w:ascii="仿宋_GB2312" w:hAnsi="仿宋_GB2312" w:eastAsia="仿宋_GB2312" w:cs="仿宋_GB2312"/>
          <w:sz w:val="32"/>
          <w:szCs w:val="32"/>
          <w:lang w:val="en-US" w:eastAsia="zh-CN"/>
        </w:rPr>
        <w:t>经县政府批准参加境外、国家级、省级、市级展销活动的企业，按相关政策给予补助。</w:t>
      </w:r>
      <w:r>
        <w:rPr>
          <w:rFonts w:hint="eastAsia" w:ascii="仿宋_GB2312" w:hAnsi="仿宋_GB2312" w:eastAsia="仿宋_GB2312" w:cs="仿宋_GB2312"/>
          <w:spacing w:val="0"/>
          <w:sz w:val="32"/>
          <w:szCs w:val="32"/>
        </w:rPr>
        <w:t>企业在竹山组织召开上下游产业链对接活动，每举行一次给予主办企业10万元</w:t>
      </w:r>
      <w:r>
        <w:rPr>
          <w:rFonts w:hint="eastAsia" w:ascii="仿宋_GB2312" w:hAnsi="仿宋_GB2312" w:eastAsia="仿宋_GB2312" w:cs="仿宋_GB2312"/>
          <w:spacing w:val="0"/>
          <w:sz w:val="32"/>
          <w:szCs w:val="32"/>
          <w:lang w:val="en-US" w:eastAsia="zh-CN"/>
        </w:rPr>
        <w:t>补贴</w:t>
      </w:r>
      <w:r>
        <w:rPr>
          <w:rFonts w:hint="eastAsia" w:ascii="仿宋_GB2312" w:hAnsi="仿宋_GB2312" w:eastAsia="仿宋_GB2312" w:cs="仿宋_GB2312"/>
          <w:spacing w:val="0"/>
          <w:sz w:val="32"/>
          <w:szCs w:val="32"/>
        </w:rPr>
        <w:t>。企</w:t>
      </w:r>
      <w:r>
        <w:rPr>
          <w:rFonts w:hint="eastAsia" w:ascii="仿宋_GB2312" w:hAnsi="仿宋_GB2312" w:eastAsia="仿宋_GB2312" w:cs="仿宋_GB2312"/>
          <w:spacing w:val="0"/>
          <w:sz w:val="32"/>
          <w:szCs w:val="32"/>
          <w:lang w:val="en-US" w:eastAsia="zh-CN"/>
        </w:rPr>
        <w:t>业在境外自建</w:t>
      </w:r>
      <w:r>
        <w:rPr>
          <w:rFonts w:hint="eastAsia" w:ascii="仿宋_GB2312" w:hAnsi="仿宋_GB2312" w:eastAsia="仿宋_GB2312" w:cs="仿宋_GB2312"/>
          <w:sz w:val="32"/>
          <w:szCs w:val="32"/>
          <w:lang w:val="en-US" w:eastAsia="zh-CN"/>
        </w:rPr>
        <w:t>或租赁海外仓开展跨境电商或者外贸业务，并与县内企业共享且实际发生业务，给予一定补助。</w:t>
      </w:r>
    </w:p>
    <w:p w14:paraId="60895B78">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napToGrid w:val="0"/>
          <w:color w:val="212529"/>
          <w:spacing w:val="0"/>
          <w:kern w:val="0"/>
          <w:sz w:val="32"/>
          <w:szCs w:val="32"/>
          <w:lang w:val="en-US" w:eastAsia="zh-CN" w:bidi="ar-SA"/>
        </w:rPr>
        <w:t>4.支持内外贸一体化发展。</w:t>
      </w:r>
      <w:r>
        <w:rPr>
          <w:rFonts w:hint="eastAsia" w:ascii="仿宋_GB2312" w:hAnsi="仿宋_GB2312" w:eastAsia="仿宋_GB2312" w:cs="仿宋_GB2312"/>
          <w:spacing w:val="0"/>
          <w:sz w:val="32"/>
          <w:szCs w:val="32"/>
          <w:lang w:val="en-US" w:eastAsia="zh-CN"/>
        </w:rPr>
        <w:t>县财政每年安排100万元财政专项资金，用于投放零售、餐饮、住宿、文旅消费券。年销售额增幅超过40%的批零住餐型企业，一次性给予5万元奖励。对获得中华老字号、湖北老字号、市级老字号的分别奖励10万、5万、2万元；对创成五叶级绿色饭店、四叶级绿色饭店的分别奖励5万、3万元；对获得荆楚优品品牌的企业奖励3万元。</w:t>
      </w:r>
    </w:p>
    <w:p w14:paraId="77D9CBEF">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黑体" w:hAnsi="黑体" w:eastAsia="黑体" w:cs="黑体"/>
          <w:color w:val="212529"/>
          <w:spacing w:val="0"/>
          <w:sz w:val="32"/>
          <w:szCs w:val="32"/>
        </w:rPr>
      </w:pPr>
      <w:r>
        <w:rPr>
          <w:rFonts w:hint="eastAsia" w:ascii="黑体" w:hAnsi="黑体" w:eastAsia="黑体" w:cs="黑体"/>
          <w:color w:val="212529"/>
          <w:spacing w:val="0"/>
          <w:sz w:val="32"/>
          <w:szCs w:val="32"/>
        </w:rPr>
        <w:t>三、聚焦产业升级，优化财政奖补政策</w:t>
      </w:r>
    </w:p>
    <w:p w14:paraId="3FFB398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snapToGrid w:val="0"/>
          <w:color w:val="212529"/>
          <w:spacing w:val="0"/>
          <w:kern w:val="0"/>
          <w:sz w:val="32"/>
          <w:szCs w:val="32"/>
          <w:lang w:val="en-US" w:eastAsia="en-US" w:bidi="ar-SA"/>
        </w:rPr>
        <w:t>（六）支持现代农业产业化发展。</w:t>
      </w:r>
      <w:r>
        <w:rPr>
          <w:rFonts w:hint="eastAsia" w:ascii="仿宋_GB2312" w:hAnsi="仿宋_GB2312" w:eastAsia="仿宋_GB2312" w:cs="仿宋_GB2312"/>
          <w:sz w:val="32"/>
          <w:szCs w:val="32"/>
        </w:rPr>
        <w:t>每年统筹相关农业专项资金90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万元，促进农业产业链、供应链建设，打造省级绿色农特产品加工地。</w:t>
      </w:r>
    </w:p>
    <w:p w14:paraId="08291D3C">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both"/>
        <w:textAlignment w:val="baseline"/>
        <w:outlineLvl w:val="9"/>
        <w:rPr>
          <w:rFonts w:hint="eastAsia" w:ascii="仿宋_GB2312" w:hAnsi="仿宋_GB2312" w:eastAsia="仿宋_GB2312" w:cs="仿宋_GB2312"/>
          <w:color w:val="212529"/>
          <w:spacing w:val="0"/>
          <w:sz w:val="32"/>
          <w:szCs w:val="32"/>
        </w:rPr>
      </w:pPr>
      <w:r>
        <w:rPr>
          <w:rFonts w:hint="eastAsia" w:ascii="仿宋_GB2312" w:hAnsi="仿宋_GB2312" w:eastAsia="仿宋_GB2312" w:cs="仿宋_GB2312"/>
          <w:b/>
          <w:bCs/>
          <w:spacing w:val="0"/>
          <w:sz w:val="32"/>
          <w:szCs w:val="32"/>
        </w:rPr>
        <w:t>1.支持企业提档升级。</w:t>
      </w:r>
      <w:r>
        <w:rPr>
          <w:rFonts w:hint="eastAsia" w:ascii="仿宋_GB2312" w:hAnsi="仿宋_GB2312" w:eastAsia="仿宋_GB2312" w:cs="仿宋_GB2312"/>
          <w:color w:val="212529"/>
          <w:spacing w:val="0"/>
          <w:sz w:val="32"/>
          <w:szCs w:val="32"/>
        </w:rPr>
        <w:t>对农业企业加工</w:t>
      </w:r>
      <w:r>
        <w:rPr>
          <w:rFonts w:hint="eastAsia" w:ascii="仿宋_GB2312" w:hAnsi="仿宋_GB2312" w:eastAsia="仿宋_GB2312" w:cs="仿宋_GB2312"/>
          <w:color w:val="212529"/>
          <w:spacing w:val="0"/>
          <w:sz w:val="32"/>
          <w:szCs w:val="32"/>
          <w:lang w:val="en-US" w:eastAsia="zh-CN"/>
        </w:rPr>
        <w:t>企业</w:t>
      </w:r>
      <w:r>
        <w:rPr>
          <w:rFonts w:hint="eastAsia" w:ascii="仿宋_GB2312" w:hAnsi="仿宋_GB2312" w:eastAsia="仿宋_GB2312" w:cs="仿宋_GB2312"/>
          <w:color w:val="212529"/>
          <w:spacing w:val="0"/>
          <w:sz w:val="32"/>
          <w:szCs w:val="32"/>
        </w:rPr>
        <w:t>首次突破0.5亿元、1亿元的</w:t>
      </w:r>
      <w:r>
        <w:rPr>
          <w:rFonts w:hint="eastAsia" w:ascii="仿宋_GB2312" w:hAnsi="仿宋_GB2312" w:eastAsia="仿宋_GB2312" w:cs="仿宋_GB2312"/>
          <w:color w:val="212529"/>
          <w:spacing w:val="0"/>
          <w:sz w:val="32"/>
          <w:szCs w:val="32"/>
          <w:lang w:eastAsia="zh-CN"/>
        </w:rPr>
        <w:t>，</w:t>
      </w:r>
      <w:r>
        <w:rPr>
          <w:rFonts w:hint="eastAsia" w:ascii="仿宋_GB2312" w:hAnsi="仿宋_GB2312" w:eastAsia="仿宋_GB2312" w:cs="仿宋_GB2312"/>
          <w:color w:val="212529"/>
          <w:spacing w:val="0"/>
          <w:sz w:val="32"/>
          <w:szCs w:val="32"/>
        </w:rPr>
        <w:t>分别给予</w:t>
      </w:r>
      <w:r>
        <w:rPr>
          <w:rFonts w:hint="eastAsia" w:ascii="仿宋_GB2312" w:hAnsi="仿宋_GB2312" w:eastAsia="仿宋_GB2312" w:cs="仿宋_GB2312"/>
          <w:color w:val="212529"/>
          <w:spacing w:val="0"/>
          <w:sz w:val="32"/>
          <w:szCs w:val="32"/>
          <w:lang w:val="en-US" w:eastAsia="zh-CN"/>
        </w:rPr>
        <w:t>2</w:t>
      </w:r>
      <w:r>
        <w:rPr>
          <w:rFonts w:hint="eastAsia" w:ascii="仿宋_GB2312" w:hAnsi="仿宋_GB2312" w:eastAsia="仿宋_GB2312" w:cs="仿宋_GB2312"/>
          <w:color w:val="212529"/>
          <w:spacing w:val="0"/>
          <w:sz w:val="32"/>
          <w:szCs w:val="32"/>
        </w:rPr>
        <w:t>万元、</w:t>
      </w:r>
      <w:r>
        <w:rPr>
          <w:rFonts w:hint="eastAsia" w:ascii="仿宋_GB2312" w:hAnsi="仿宋_GB2312" w:eastAsia="仿宋_GB2312" w:cs="仿宋_GB2312"/>
          <w:color w:val="212529"/>
          <w:spacing w:val="0"/>
          <w:sz w:val="32"/>
          <w:szCs w:val="32"/>
          <w:lang w:val="en-US" w:eastAsia="zh-CN"/>
        </w:rPr>
        <w:t>5</w:t>
      </w:r>
      <w:r>
        <w:rPr>
          <w:rFonts w:hint="eastAsia" w:ascii="仿宋_GB2312" w:hAnsi="仿宋_GB2312" w:eastAsia="仿宋_GB2312" w:cs="仿宋_GB2312"/>
          <w:color w:val="212529"/>
          <w:spacing w:val="0"/>
          <w:sz w:val="32"/>
          <w:szCs w:val="32"/>
        </w:rPr>
        <w:t>万元一次性奖励</w:t>
      </w:r>
      <w:r>
        <w:rPr>
          <w:rFonts w:hint="eastAsia" w:ascii="仿宋_GB2312" w:hAnsi="仿宋_GB2312" w:eastAsia="仿宋_GB2312" w:cs="仿宋_GB2312"/>
          <w:color w:val="212529"/>
          <w:spacing w:val="0"/>
          <w:sz w:val="32"/>
          <w:szCs w:val="32"/>
          <w:lang w:eastAsia="zh-CN"/>
        </w:rPr>
        <w:t>，</w:t>
      </w:r>
      <w:r>
        <w:rPr>
          <w:rFonts w:hint="eastAsia" w:ascii="仿宋_GB2312" w:hAnsi="仿宋_GB2312" w:eastAsia="仿宋_GB2312" w:cs="仿宋_GB2312"/>
          <w:color w:val="212529"/>
          <w:spacing w:val="0"/>
          <w:sz w:val="32"/>
          <w:szCs w:val="32"/>
        </w:rPr>
        <w:t>每新增</w:t>
      </w:r>
      <w:r>
        <w:rPr>
          <w:rFonts w:hint="eastAsia" w:ascii="仿宋_GB2312" w:hAnsi="仿宋_GB2312" w:eastAsia="仿宋_GB2312" w:cs="仿宋_GB2312"/>
          <w:color w:val="212529"/>
          <w:spacing w:val="0"/>
          <w:sz w:val="32"/>
          <w:szCs w:val="32"/>
          <w:lang w:val="en-US" w:eastAsia="zh-CN"/>
        </w:rPr>
        <w:t>应税销售收入</w:t>
      </w:r>
      <w:r>
        <w:rPr>
          <w:rFonts w:hint="eastAsia" w:ascii="仿宋_GB2312" w:hAnsi="仿宋_GB2312" w:eastAsia="仿宋_GB2312" w:cs="仿宋_GB2312"/>
          <w:color w:val="212529"/>
          <w:spacing w:val="0"/>
          <w:sz w:val="32"/>
          <w:szCs w:val="32"/>
        </w:rPr>
        <w:t>5000万元</w:t>
      </w:r>
      <w:r>
        <w:rPr>
          <w:rFonts w:hint="eastAsia" w:ascii="仿宋_GB2312" w:hAnsi="仿宋_GB2312" w:eastAsia="仿宋_GB2312" w:cs="仿宋_GB2312"/>
          <w:color w:val="212529"/>
          <w:spacing w:val="0"/>
          <w:sz w:val="32"/>
          <w:szCs w:val="32"/>
          <w:lang w:val="en-US" w:eastAsia="zh-CN"/>
        </w:rPr>
        <w:t>，</w:t>
      </w:r>
      <w:r>
        <w:rPr>
          <w:rFonts w:hint="eastAsia" w:ascii="仿宋_GB2312" w:hAnsi="仿宋_GB2312" w:eastAsia="仿宋_GB2312" w:cs="仿宋_GB2312"/>
          <w:color w:val="212529"/>
          <w:spacing w:val="0"/>
          <w:sz w:val="32"/>
          <w:szCs w:val="32"/>
        </w:rPr>
        <w:t>一次性奖励</w:t>
      </w:r>
      <w:r>
        <w:rPr>
          <w:rFonts w:hint="eastAsia" w:ascii="仿宋_GB2312" w:hAnsi="仿宋_GB2312" w:eastAsia="仿宋_GB2312" w:cs="仿宋_GB2312"/>
          <w:color w:val="212529"/>
          <w:spacing w:val="0"/>
          <w:sz w:val="32"/>
          <w:szCs w:val="32"/>
          <w:lang w:val="en-US" w:eastAsia="zh-CN"/>
        </w:rPr>
        <w:t>5</w:t>
      </w:r>
      <w:r>
        <w:rPr>
          <w:rFonts w:hint="eastAsia" w:ascii="仿宋_GB2312" w:hAnsi="仿宋_GB2312" w:eastAsia="仿宋_GB2312" w:cs="仿宋_GB2312"/>
          <w:color w:val="212529"/>
          <w:spacing w:val="0"/>
          <w:sz w:val="32"/>
          <w:szCs w:val="32"/>
        </w:rPr>
        <w:t>万元。</w:t>
      </w:r>
    </w:p>
    <w:p w14:paraId="49CD1E89">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2"/>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2.强化品牌宣传推介。</w:t>
      </w:r>
      <w:r>
        <w:rPr>
          <w:rFonts w:hint="eastAsia" w:ascii="仿宋_GB2312" w:hAnsi="仿宋_GB2312" w:eastAsia="仿宋_GB2312" w:cs="仿宋_GB2312"/>
          <w:color w:val="212529"/>
          <w:spacing w:val="0"/>
          <w:sz w:val="32"/>
          <w:szCs w:val="32"/>
        </w:rPr>
        <w:t>统筹资金用于宣传南水北调水源地绿色农产品品牌，支持企业参展和品牌体验店建设。</w:t>
      </w:r>
    </w:p>
    <w:p w14:paraId="5CB82E5A">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3.加强农业科技创新。</w:t>
      </w:r>
      <w:r>
        <w:rPr>
          <w:rFonts w:hint="eastAsia" w:ascii="仿宋_GB2312" w:hAnsi="仿宋_GB2312" w:eastAsia="仿宋_GB2312" w:cs="仿宋_GB2312"/>
          <w:color w:val="212529"/>
          <w:spacing w:val="0"/>
          <w:sz w:val="32"/>
          <w:szCs w:val="32"/>
        </w:rPr>
        <w:t>支持智慧农业、林业、数字乡村建设，对水肥一体农业特色产业标准化基地建设项目，按照设备投资额20%给予补贴，最高不超过50万元；支持专家团队聚焦产业链“卡脖子”关键核心技术攻关。</w:t>
      </w:r>
    </w:p>
    <w:p w14:paraId="44D95912">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4.壮大林业基地规模。</w:t>
      </w:r>
      <w:r>
        <w:rPr>
          <w:rFonts w:hint="eastAsia" w:ascii="仿宋_GB2312" w:hAnsi="仿宋_GB2312" w:eastAsia="仿宋_GB2312" w:cs="仿宋_GB2312"/>
          <w:color w:val="212529"/>
          <w:spacing w:val="0"/>
          <w:sz w:val="32"/>
          <w:szCs w:val="32"/>
        </w:rPr>
        <w:t>对林下标准化新种植1～2年生、3年及以上多年生中药材，集中连片面积达10亩以上的，经验收合格每亩分别一次性奖补500元、1000元。油茶营造林基地建设经县级自查、省级核查合格后，第一年享受中央财政补助新造林1000元/亩、低产低效林改造500元/亩，第二年起经县级验收合格后，对油茶营造林管护按500元/亩/年标准连续补助三年；低产低效林改造分别按300元/亩、200元/亩、200元/亩标准连续补助三年。</w:t>
      </w:r>
    </w:p>
    <w:p w14:paraId="4E5A2EB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snapToGrid w:val="0"/>
          <w:color w:val="212529"/>
          <w:spacing w:val="0"/>
          <w:kern w:val="0"/>
          <w:sz w:val="32"/>
          <w:szCs w:val="32"/>
          <w:lang w:val="en-US" w:eastAsia="en-US" w:bidi="ar-SA"/>
        </w:rPr>
        <w:t>（七）支持文旅康养产业发展。</w:t>
      </w:r>
      <w:r>
        <w:rPr>
          <w:rFonts w:hint="eastAsia" w:ascii="仿宋_GB2312" w:hAnsi="仿宋_GB2312" w:eastAsia="仿宋_GB2312" w:cs="仿宋_GB2312"/>
          <w:sz w:val="32"/>
          <w:szCs w:val="32"/>
        </w:rPr>
        <w:t>县级财政每年统筹资金</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万元，促进文旅产业融合发展。</w:t>
      </w:r>
    </w:p>
    <w:p w14:paraId="0D569A5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1.培育壮大旅行社。</w:t>
      </w:r>
      <w:r>
        <w:rPr>
          <w:rFonts w:hint="eastAsia" w:ascii="仿宋_GB2312" w:hAnsi="仿宋_GB2312" w:eastAsia="仿宋_GB2312" w:cs="仿宋_GB2312"/>
          <w:sz w:val="32"/>
          <w:szCs w:val="32"/>
        </w:rPr>
        <w:t>当年招徕县外游客达到5000人次以上的,给予一次性奖励5万元。对新评定的3A级、4A级、5A级旅行社,分别给予创建企业5万元、10万元、15万元一次性奖励。</w:t>
      </w:r>
    </w:p>
    <w:p w14:paraId="43EE7BF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en-US"/>
        </w:rPr>
        <w:t>2.</w:t>
      </w:r>
      <w:r>
        <w:rPr>
          <w:rFonts w:hint="eastAsia" w:ascii="仿宋_GB2312" w:hAnsi="仿宋_GB2312" w:eastAsia="仿宋_GB2312" w:cs="仿宋_GB2312"/>
          <w:b/>
          <w:bCs/>
          <w:spacing w:val="0"/>
          <w:sz w:val="32"/>
          <w:szCs w:val="32"/>
        </w:rPr>
        <w:t>支持旅游景区建设。</w:t>
      </w:r>
      <w:r>
        <w:rPr>
          <w:rFonts w:hint="eastAsia" w:ascii="仿宋_GB2312" w:hAnsi="仿宋_GB2312" w:eastAsia="仿宋_GB2312" w:cs="仿宋_GB2312"/>
          <w:sz w:val="32"/>
          <w:szCs w:val="32"/>
        </w:rPr>
        <w:t>当年新评定的国家3A级、4A级、5A级旅游景区的,分别给予创建企业10万元、50万元、200万元一次性奖励。对县城街区或乡镇集镇创建达到国家4A景区标准、美丽乡村创建达到国家3A景区标准的,分别给予创建主体单位50万元、20万元一次性奖励。对新评定为国家、省级全域旅游示范区的乡镇或旅游度假区的企业,分别给予50万元、20万元一次性奖励</w:t>
      </w:r>
      <w:r>
        <w:rPr>
          <w:rFonts w:hint="eastAsia" w:ascii="仿宋_GB2312" w:hAnsi="仿宋_GB2312" w:eastAsia="仿宋_GB2312" w:cs="仿宋_GB2312"/>
          <w:sz w:val="32"/>
          <w:szCs w:val="32"/>
          <w:lang w:eastAsia="zh-CN"/>
        </w:rPr>
        <w:t>。</w:t>
      </w:r>
    </w:p>
    <w:p w14:paraId="7BD913B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en-US"/>
        </w:rPr>
        <w:t>3.促进住宿品质提升</w:t>
      </w:r>
      <w:r>
        <w:rPr>
          <w:rFonts w:hint="eastAsia" w:ascii="仿宋_GB2312" w:hAnsi="仿宋_GB2312" w:eastAsia="仿宋_GB2312" w:cs="仿宋_GB2312"/>
          <w:b/>
          <w:bCs/>
          <w:spacing w:val="0"/>
          <w:sz w:val="32"/>
          <w:szCs w:val="32"/>
        </w:rPr>
        <w:t>。</w:t>
      </w:r>
      <w:r>
        <w:rPr>
          <w:rFonts w:hint="eastAsia" w:ascii="仿宋_GB2312" w:hAnsi="仿宋_GB2312" w:eastAsia="仿宋_GB2312" w:cs="仿宋_GB2312"/>
          <w:sz w:val="32"/>
          <w:szCs w:val="32"/>
        </w:rPr>
        <w:t>对当年新建或改造升级为三星级、四星级饭店的,分别给予创建企业5万元、20万元一次性奖励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对新评定的三星级、四星级、五星级旅游民宿,分别给予5万元、10万元、20万元一次性奖励</w:t>
      </w:r>
      <w:r>
        <w:rPr>
          <w:rFonts w:hint="eastAsia" w:ascii="仿宋_GB2312" w:hAnsi="仿宋_GB2312" w:eastAsia="仿宋_GB2312" w:cs="仿宋_GB2312"/>
          <w:sz w:val="32"/>
          <w:szCs w:val="32"/>
          <w:lang w:eastAsia="zh-CN"/>
        </w:rPr>
        <w:t>。</w:t>
      </w:r>
    </w:p>
    <w:p w14:paraId="4CE62F6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4.发展演艺赛事旅游经济。</w:t>
      </w:r>
      <w:r>
        <w:rPr>
          <w:rFonts w:hint="eastAsia" w:ascii="仿宋_GB2312" w:hAnsi="仿宋_GB2312" w:eastAsia="仿宋_GB2312" w:cs="仿宋_GB2312"/>
          <w:sz w:val="32"/>
          <w:szCs w:val="32"/>
        </w:rPr>
        <w:t>积极推动发展节会经济,对县政府审批同意开展的文旅节会活动费用给予“一事一议”奖补支持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对承办国家、省、市、县级重大旅游节会活动的承办单位,</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给予100万元、30万元、10万元、5万元一次性奖励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对积极参加县政府组织的市外各类市场促销活动的旅游企业,每次奖励2000元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对在旅交会或展览会上设立展台的旅游企业,奖励展台所需费用的50%,年度累计奖励每家最高不超过2万元。</w:t>
      </w:r>
    </w:p>
    <w:p w14:paraId="73C45C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5.支持开发文旅新产品。</w:t>
      </w:r>
      <w:r>
        <w:rPr>
          <w:rFonts w:hint="eastAsia" w:ascii="仿宋_GB2312" w:hAnsi="仿宋_GB2312" w:eastAsia="仿宋_GB2312" w:cs="仿宋_GB2312"/>
          <w:sz w:val="32"/>
          <w:szCs w:val="32"/>
        </w:rPr>
        <w:t>对旅游商品研发、生产、经营有突出贡献的企业,年营业额达到300万元以上的,给予5万元一次性奖励。在省级以上旅游商品大赛中荣获二等奖以上的旅游商品生产经营企业,给予2万元一次性奖励。</w:t>
      </w:r>
    </w:p>
    <w:p w14:paraId="4973263E">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5"/>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6.优化“引客入竹”奖补政策。</w:t>
      </w:r>
      <w:r>
        <w:rPr>
          <w:rFonts w:hint="eastAsia" w:ascii="仿宋_GB2312" w:hAnsi="仿宋_GB2312" w:eastAsia="仿宋_GB2312" w:cs="仿宋_GB2312"/>
          <w:spacing w:val="0"/>
          <w:sz w:val="32"/>
          <w:szCs w:val="32"/>
        </w:rPr>
        <w:t>县级财政统筹资金</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万元，支持旅行社拓展川陕渝、长三角、京津冀、闽浙台、赣豫湘、珠三角、大湾区和东南亚等国内外重点客源市场，对采取包机、切位、专列、高铁、直通车、导游带团等形式引进重点客源市场千人以上系列旅游团、大型旅游团入竹旅游的采取分档奖励。</w:t>
      </w:r>
    </w:p>
    <w:p w14:paraId="7829DA43">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5"/>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7.支持旅游市场宣传推广</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spacing w:val="0"/>
          <w:sz w:val="32"/>
          <w:szCs w:val="32"/>
        </w:rPr>
        <w:t>县级财政统筹资金100万元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对参加文旅节会、参加和开展旅游推介活动、旅游商品大赛获奖、旅游宣传作品、引进学术会议展览、引进企业年会等进行相应奖励。</w:t>
      </w:r>
    </w:p>
    <w:p w14:paraId="71001C65">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snapToGrid w:val="0"/>
          <w:color w:val="212529"/>
          <w:spacing w:val="0"/>
          <w:kern w:val="0"/>
          <w:sz w:val="32"/>
          <w:szCs w:val="32"/>
          <w:lang w:val="en-US" w:eastAsia="en-US" w:bidi="ar-SA"/>
        </w:rPr>
        <w:t>（八）支持绿松石产业发展</w:t>
      </w:r>
    </w:p>
    <w:p w14:paraId="326697B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.给予外出参展补助。</w:t>
      </w:r>
      <w:r>
        <w:rPr>
          <w:rFonts w:hint="eastAsia" w:ascii="仿宋_GB2312" w:hAnsi="仿宋_GB2312" w:eastAsia="仿宋_GB2312" w:cs="仿宋_GB2312"/>
          <w:spacing w:val="0"/>
          <w:sz w:val="32"/>
          <w:szCs w:val="32"/>
        </w:rPr>
        <w:t>支持绿松石市场主体参加各类珠宝展示展销会、雕刻技能大赛等活动，按企业支付展位费的50%给予补助。</w:t>
      </w:r>
      <w:r>
        <w:rPr>
          <w:rFonts w:hint="eastAsia" w:ascii="仿宋_GB2312" w:hAnsi="仿宋_GB2312" w:eastAsia="仿宋_GB2312" w:cs="仿宋_GB2312"/>
          <w:sz w:val="32"/>
          <w:szCs w:val="32"/>
          <w:lang w:val="en-US" w:eastAsia="zh-CN"/>
        </w:rPr>
        <w:t>对在省级以上珠宝设计大赛、雕刻技能大赛、旅游商品大赛中获奖的企业，按第一名（或金奖）5万元、第二名（或银奖）3万元、其他名次或奖项的1万元给予奖励。</w:t>
      </w:r>
    </w:p>
    <w:p w14:paraId="2E78AFF1">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2</w:t>
      </w:r>
      <w:r>
        <w:rPr>
          <w:rFonts w:hint="eastAsia" w:ascii="仿宋_GB2312" w:hAnsi="仿宋_GB2312" w:eastAsia="仿宋_GB2312" w:cs="仿宋_GB2312"/>
          <w:b/>
          <w:bCs/>
          <w:spacing w:val="0"/>
          <w:sz w:val="32"/>
          <w:szCs w:val="32"/>
        </w:rPr>
        <w:t>.给予产业宣传等补贴。</w:t>
      </w:r>
      <w:r>
        <w:rPr>
          <w:rFonts w:hint="eastAsia" w:ascii="仿宋_GB2312" w:hAnsi="仿宋_GB2312" w:eastAsia="仿宋_GB2312" w:cs="仿宋_GB2312"/>
          <w:snapToGrid w:val="0"/>
          <w:color w:val="000000"/>
          <w:kern w:val="0"/>
          <w:sz w:val="32"/>
          <w:szCs w:val="32"/>
          <w:lang w:val="en-US" w:eastAsia="zh-CN" w:bidi="ar-SA"/>
        </w:rPr>
        <w:t>鼓励企业加强自身品牌建设，对获得国家、省、市质量奖的企业，分别给予20万元、10万元、5万元一次性奖励。</w:t>
      </w:r>
      <w:r>
        <w:rPr>
          <w:rFonts w:hint="eastAsia" w:ascii="仿宋_GB2312" w:hAnsi="仿宋_GB2312" w:eastAsia="仿宋_GB2312" w:cs="仿宋_GB2312"/>
          <w:spacing w:val="0"/>
          <w:sz w:val="32"/>
          <w:szCs w:val="32"/>
        </w:rPr>
        <w:t>支持我县绿松石市场主体对外宣传推介竹山绿松石，对在网络主流媒体上推广宣传竹山绿松石广告片、广告语等内容的，按当年阅读量、点赞量、转发量给予奖励，累计超过100万人次的按0.01元/人次给予一次性奖励，奖励总额最高不超过10万元。</w:t>
      </w:r>
    </w:p>
    <w:p w14:paraId="3D528C8E">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4"/>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b/>
          <w:bCs/>
          <w:spacing w:val="0"/>
          <w:sz w:val="32"/>
          <w:szCs w:val="32"/>
        </w:rPr>
        <w:t>.给予电商直播支持。</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val="en-US" w:eastAsia="zh-CN"/>
        </w:rPr>
        <w:t>新</w:t>
      </w:r>
      <w:r>
        <w:rPr>
          <w:rFonts w:hint="eastAsia" w:ascii="仿宋_GB2312" w:hAnsi="仿宋_GB2312" w:eastAsia="仿宋_GB2312" w:cs="仿宋_GB2312"/>
          <w:spacing w:val="0"/>
          <w:sz w:val="32"/>
          <w:szCs w:val="32"/>
        </w:rPr>
        <w:t>获批国家级、省级的电子商务示范企业，分别给予20万元、10万元一次性奖励。对新认定省级电商零售“头部企业”“瞪羚企业”“种子企业”分别给予20万元、10万元、5万元一次性奖励。</w:t>
      </w:r>
    </w:p>
    <w:p w14:paraId="5576B1C7">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3"/>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4</w:t>
      </w:r>
      <w:r>
        <w:rPr>
          <w:rFonts w:hint="eastAsia" w:ascii="仿宋_GB2312" w:hAnsi="仿宋_GB2312" w:eastAsia="仿宋_GB2312" w:cs="仿宋_GB2312"/>
          <w:b/>
          <w:bCs/>
          <w:spacing w:val="0"/>
          <w:sz w:val="32"/>
          <w:szCs w:val="32"/>
        </w:rPr>
        <w:t>.给予荣誉奖励。</w:t>
      </w:r>
      <w:r>
        <w:rPr>
          <w:rFonts w:hint="eastAsia" w:ascii="仿宋_GB2312" w:hAnsi="仿宋_GB2312" w:eastAsia="仿宋_GB2312" w:cs="仿宋_GB2312"/>
          <w:spacing w:val="0"/>
          <w:sz w:val="32"/>
          <w:szCs w:val="32"/>
        </w:rPr>
        <w:t>对国家级荣誉（中国工艺美术大师）和省级荣誉（湖北省工艺美术大师、荆楚工匠）获得者，</w:t>
      </w:r>
      <w:r>
        <w:rPr>
          <w:rFonts w:hint="eastAsia" w:ascii="仿宋_GB2312" w:hAnsi="仿宋_GB2312" w:eastAsia="仿宋_GB2312" w:cs="仿宋_GB2312"/>
          <w:sz w:val="32"/>
          <w:szCs w:val="32"/>
          <w:lang w:val="en-US" w:eastAsia="zh-CN"/>
        </w:rPr>
        <w:t>设立工作室且常态化运营的，一次性分别给予10万元、5万元运营补贴</w:t>
      </w:r>
      <w:r>
        <w:rPr>
          <w:rFonts w:hint="eastAsia" w:ascii="仿宋_GB2312" w:hAnsi="仿宋_GB2312" w:eastAsia="仿宋_GB2312" w:cs="仿宋_GB2312"/>
          <w:spacing w:val="0"/>
          <w:sz w:val="32"/>
          <w:szCs w:val="32"/>
        </w:rPr>
        <w:t>。</w:t>
      </w:r>
    </w:p>
    <w:p w14:paraId="3B6CF1D5">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7"/>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bCs/>
          <w:snapToGrid w:val="0"/>
          <w:color w:val="212529"/>
          <w:spacing w:val="0"/>
          <w:kern w:val="0"/>
          <w:sz w:val="32"/>
          <w:szCs w:val="32"/>
          <w:lang w:val="en-US" w:eastAsia="en-US" w:bidi="ar-SA"/>
        </w:rPr>
        <w:t>（九）支持卫浴轻工产业发展。</w:t>
      </w:r>
      <w:r>
        <w:rPr>
          <w:rFonts w:hint="eastAsia" w:ascii="仿宋_GB2312" w:hAnsi="仿宋_GB2312" w:eastAsia="仿宋_GB2312" w:cs="仿宋_GB2312"/>
          <w:spacing w:val="0"/>
          <w:sz w:val="32"/>
          <w:szCs w:val="32"/>
        </w:rPr>
        <w:t>县财政每年统筹专项资金1000万元，促进卫浴轻工产业链、供应链建设，打造省级卫浴轻工生产基地。</w:t>
      </w:r>
    </w:p>
    <w:p w14:paraId="7C032401">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7"/>
        <w:jc w:val="both"/>
        <w:textAlignment w:val="baseline"/>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snapToGrid w:val="0"/>
          <w:color w:val="000000"/>
          <w:spacing w:val="0"/>
          <w:kern w:val="0"/>
          <w:sz w:val="32"/>
          <w:szCs w:val="32"/>
          <w:lang w:val="en-US" w:eastAsia="zh-CN" w:bidi="ar-SA"/>
        </w:rPr>
        <w:t>1.支持企业扩产扩销。</w:t>
      </w:r>
      <w:r>
        <w:rPr>
          <w:rFonts w:hint="eastAsia" w:ascii="仿宋_GB2312" w:hAnsi="仿宋_GB2312" w:eastAsia="仿宋_GB2312" w:cs="仿宋_GB2312"/>
          <w:color w:val="000000"/>
          <w:spacing w:val="0"/>
          <w:kern w:val="0"/>
          <w:sz w:val="32"/>
          <w:szCs w:val="32"/>
          <w:lang w:val="en-US" w:eastAsia="zh-CN" w:bidi="ar"/>
        </w:rPr>
        <w:t>对月产能3亿元以上的循环经济工业企业，当月产值达到6亿元以上，且当月累计销售收入达到70%及以上的奖励50万元（同一实控人的企业可合并统计）。对月产能3亿元以下的循环经济工业企业，当月产值达到8000万元以上，且当月累计销售收入达到70%及以上的奖励10万元。其他亿元以上加工企业当月产值累计环比增长10%至20%，奖励2万元；累计环比增长20%至30%，奖励4万元；累计环比增长30%以上，奖励6万元（水电、矿产开发企业除外）。</w:t>
      </w:r>
    </w:p>
    <w:p w14:paraId="7A07CB65">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7"/>
        <w:jc w:val="both"/>
        <w:textAlignment w:val="baseline"/>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snapToGrid w:val="0"/>
          <w:color w:val="000000"/>
          <w:spacing w:val="0"/>
          <w:kern w:val="0"/>
          <w:sz w:val="32"/>
          <w:szCs w:val="32"/>
          <w:lang w:val="en-US" w:eastAsia="zh-CN" w:bidi="ar-SA"/>
        </w:rPr>
        <w:t>2.支持企业提档升级。</w:t>
      </w:r>
      <w:r>
        <w:rPr>
          <w:rFonts w:hint="eastAsia" w:ascii="仿宋_GB2312" w:hAnsi="仿宋_GB2312" w:eastAsia="仿宋_GB2312" w:cs="仿宋_GB2312"/>
          <w:color w:val="000000"/>
          <w:spacing w:val="0"/>
          <w:kern w:val="0"/>
          <w:sz w:val="32"/>
          <w:szCs w:val="32"/>
          <w:lang w:val="en-US" w:eastAsia="zh-CN" w:bidi="ar"/>
        </w:rPr>
        <w:t>对首次获得国家级、省级、市级绿色工厂的企业分别给予100万元、20万元、5万元的奖励；对获得国家级、省级绿色产业链的企业分别给予100万元、50万元的奖励；对获得国家级、省级绿色产品的企业分别给予50万元、20万元奖励。</w:t>
      </w:r>
    </w:p>
    <w:p w14:paraId="723BE82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b/>
          <w:bCs/>
          <w:spacing w:val="0"/>
          <w:sz w:val="32"/>
          <w:szCs w:val="32"/>
        </w:rPr>
        <w:t>.支持企业科技创新。</w:t>
      </w:r>
      <w:r>
        <w:rPr>
          <w:rFonts w:hint="eastAsia" w:ascii="仿宋_GB2312" w:hAnsi="仿宋_GB2312" w:eastAsia="仿宋_GB2312" w:cs="仿宋_GB2312"/>
          <w:sz w:val="32"/>
          <w:szCs w:val="32"/>
          <w:lang w:val="en-US" w:eastAsia="zh-CN"/>
        </w:rPr>
        <w:t>对企业新认定的国家级、省级重点实验室，一次性分别给予20万元、5万元奖励；对企业新认定的国家、省级新型研发机构，给予20万元、5万元奖励。对企业认定为国家级、省级技术研发中心的分别给予50万元、20万元奖励。</w:t>
      </w:r>
    </w:p>
    <w:p w14:paraId="5872653F">
      <w:pPr>
        <w:keepNext w:val="0"/>
        <w:keepLines w:val="0"/>
        <w:pageBreakBefore w:val="0"/>
        <w:widowControl w:val="0"/>
        <w:suppressLineNumbers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snapToGrid w:val="0"/>
          <w:color w:val="000000"/>
          <w:spacing w:val="0"/>
          <w:kern w:val="0"/>
          <w:sz w:val="32"/>
          <w:szCs w:val="32"/>
          <w:lang w:val="en-US" w:eastAsia="zh-CN" w:bidi="ar"/>
        </w:rPr>
      </w:pPr>
      <w:r>
        <w:rPr>
          <w:rFonts w:hint="eastAsia" w:ascii="仿宋_GB2312" w:hAnsi="仿宋_GB2312" w:eastAsia="仿宋_GB2312" w:cs="仿宋_GB2312"/>
          <w:b/>
          <w:bCs/>
          <w:color w:val="000000"/>
          <w:spacing w:val="0"/>
          <w:kern w:val="0"/>
          <w:sz w:val="32"/>
          <w:szCs w:val="32"/>
          <w:lang w:val="en-US" w:eastAsia="zh-CN" w:bidi="ar"/>
        </w:rPr>
        <w:t>4.鼓励企业进行数字化改造。</w:t>
      </w:r>
      <w:r>
        <w:rPr>
          <w:rFonts w:hint="eastAsia" w:ascii="仿宋_GB2312" w:hAnsi="仿宋_GB2312" w:eastAsia="仿宋_GB2312" w:cs="仿宋_GB2312"/>
          <w:snapToGrid w:val="0"/>
          <w:color w:val="000000"/>
          <w:spacing w:val="0"/>
          <w:kern w:val="0"/>
          <w:sz w:val="32"/>
          <w:szCs w:val="32"/>
          <w:lang w:val="en-US" w:eastAsia="zh-CN" w:bidi="ar"/>
        </w:rPr>
        <w:t>企业数字化水平评级达到二级按改造投入40%补助，每家最高补助20万元；达到三级及以上水平的按改造投入30%补助，每家最高补助40万元。对获评省级以上工业互联网平台或入选省级“链式”数字化转型典型案例的企业，给予20万元一次性奖补。对新获评智能工厂（基础级、先进级、卓越级、领航级）的，分别给予10万元、20万元、30万元、50万元一次性奖励；对新获国家、省级5G工厂、无人工厂、数字孪生工厂等试点示范企业（平台）的，分别给予50万元、20万元一次性奖励；对首次通过两化融合体系（新一代信息技术和制造业融合发展、信息化和工业化融合）认定为A、AA、AAA的企业，分别一次性给予10万元、20万元、30万元奖励。</w:t>
      </w:r>
    </w:p>
    <w:p w14:paraId="5A484AC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楷体_GB2312" w:hAnsi="楷体_GB2312" w:eastAsia="楷体_GB2312" w:cs="楷体_GB2312"/>
          <w:b/>
          <w:bCs/>
          <w:snapToGrid w:val="0"/>
          <w:color w:val="212529"/>
          <w:spacing w:val="0"/>
          <w:kern w:val="0"/>
          <w:sz w:val="32"/>
          <w:szCs w:val="32"/>
          <w:lang w:val="en-US" w:eastAsia="en-US" w:bidi="ar-SA"/>
        </w:rPr>
      </w:pPr>
      <w:r>
        <w:rPr>
          <w:rFonts w:hint="eastAsia" w:ascii="楷体_GB2312" w:hAnsi="楷体_GB2312" w:eastAsia="楷体_GB2312" w:cs="楷体_GB2312"/>
          <w:b/>
          <w:bCs/>
          <w:snapToGrid w:val="0"/>
          <w:color w:val="212529"/>
          <w:spacing w:val="0"/>
          <w:kern w:val="0"/>
          <w:sz w:val="32"/>
          <w:szCs w:val="32"/>
          <w:lang w:val="en-US" w:eastAsia="en-US" w:bidi="ar-SA"/>
        </w:rPr>
        <w:t>（十）支持国家战略性矿产资源储备基地建设</w:t>
      </w:r>
    </w:p>
    <w:p w14:paraId="4B635650">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7"/>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1.引进专业人才。</w:t>
      </w:r>
      <w:r>
        <w:rPr>
          <w:rFonts w:hint="eastAsia" w:ascii="仿宋_GB2312" w:hAnsi="仿宋_GB2312" w:eastAsia="仿宋_GB2312" w:cs="仿宋_GB2312"/>
          <w:spacing w:val="0"/>
          <w:sz w:val="32"/>
          <w:szCs w:val="32"/>
        </w:rPr>
        <w:t>制定优惠政策，吸引地质勘探、矿业工程、材料科学等领域专业人才到竹山县工作，为战略性矿产资源储备地建设提供人才保障。</w:t>
      </w:r>
    </w:p>
    <w:p w14:paraId="20C11E18">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6"/>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2.实施矿产地储备计划。</w:t>
      </w:r>
      <w:r>
        <w:rPr>
          <w:rFonts w:hint="eastAsia" w:ascii="仿宋_GB2312" w:hAnsi="仿宋_GB2312" w:eastAsia="仿宋_GB2312" w:cs="仿宋_GB2312"/>
          <w:spacing w:val="0"/>
          <w:sz w:val="32"/>
          <w:szCs w:val="32"/>
        </w:rPr>
        <w:t>在得胜镇庙垭村等关键区域划定铌钽稀土矿产地作为战略储备地，实施保护性封存和基础维护</w:t>
      </w:r>
    </w:p>
    <w:p w14:paraId="30F5C778">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3.开展区域规划环评。</w:t>
      </w:r>
      <w:r>
        <w:rPr>
          <w:rFonts w:hint="eastAsia" w:ascii="仿宋_GB2312" w:hAnsi="仿宋_GB2312" w:eastAsia="仿宋_GB2312" w:cs="仿宋_GB2312"/>
          <w:spacing w:val="0"/>
          <w:sz w:val="32"/>
          <w:szCs w:val="32"/>
        </w:rPr>
        <w:t>委托专业机构开展区域规划环评，厘清约束条件、政策负面清单，为后续项目申报、矿权设置等工作奠定基础。</w:t>
      </w:r>
    </w:p>
    <w:p w14:paraId="73AD2A87">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7"/>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4.改善交通物流条件。</w:t>
      </w:r>
      <w:r>
        <w:rPr>
          <w:rFonts w:hint="eastAsia" w:ascii="仿宋_GB2312" w:hAnsi="仿宋_GB2312" w:eastAsia="仿宋_GB2312" w:cs="仿宋_GB2312"/>
          <w:spacing w:val="0"/>
          <w:sz w:val="32"/>
          <w:szCs w:val="32"/>
        </w:rPr>
        <w:t>加快推进连接矿产资源基地的交通基础设施建设，完善区域公路网，降低交通物流成本。</w:t>
      </w:r>
    </w:p>
    <w:p w14:paraId="42B3465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楷体_GB2312" w:hAnsi="楷体_GB2312" w:eastAsia="楷体_GB2312" w:cs="楷体_GB2312"/>
          <w:b/>
          <w:bCs/>
          <w:snapToGrid w:val="0"/>
          <w:color w:val="212529"/>
          <w:spacing w:val="0"/>
          <w:kern w:val="0"/>
          <w:sz w:val="32"/>
          <w:szCs w:val="32"/>
          <w:lang w:val="en-US" w:eastAsia="en-US" w:bidi="ar-SA"/>
        </w:rPr>
      </w:pPr>
      <w:r>
        <w:rPr>
          <w:rFonts w:hint="eastAsia" w:ascii="楷体_GB2312" w:hAnsi="楷体_GB2312" w:eastAsia="楷体_GB2312" w:cs="楷体_GB2312"/>
          <w:b/>
          <w:bCs/>
          <w:snapToGrid w:val="0"/>
          <w:color w:val="212529"/>
          <w:spacing w:val="0"/>
          <w:kern w:val="0"/>
          <w:sz w:val="32"/>
          <w:szCs w:val="32"/>
          <w:lang w:val="en-US" w:eastAsia="en-US" w:bidi="ar-SA"/>
        </w:rPr>
        <w:t>（十一）加快壮大低空经济</w:t>
      </w:r>
    </w:p>
    <w:p w14:paraId="247BDE45">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rPr>
        <w:t>1.支持低空航空器整机研发制造。</w:t>
      </w:r>
      <w:r>
        <w:rPr>
          <w:rFonts w:hint="eastAsia" w:ascii="仿宋_GB2312" w:hAnsi="仿宋_GB2312" w:eastAsia="仿宋_GB2312" w:cs="仿宋_GB2312"/>
          <w:spacing w:val="0"/>
          <w:sz w:val="32"/>
          <w:szCs w:val="32"/>
        </w:rPr>
        <w:t>对低空航空器整机研发制造项目，关键设备、核心零部件、材料研发制造项目，低空信息基础设施（低空CNSD通信/导航/监视/反制、气象监测、数字底座、监管调度等装备）、地面配套设施（智能起降柜机等应用于低空航空器起降、备降、停放装备）装备制造等项目，年营收超过2000万元、5000万元、1亿元及以上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分别一次性给予20万元、50万元、100万元奖励</w:t>
      </w:r>
      <w:r>
        <w:rPr>
          <w:rFonts w:hint="eastAsia" w:ascii="仿宋_GB2312" w:hAnsi="仿宋_GB2312" w:eastAsia="仿宋_GB2312" w:cs="仿宋_GB2312"/>
          <w:spacing w:val="0"/>
          <w:sz w:val="32"/>
          <w:szCs w:val="32"/>
          <w:lang w:eastAsia="zh-CN"/>
        </w:rPr>
        <w:t>。</w:t>
      </w:r>
    </w:p>
    <w:p w14:paraId="7763C15F">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2.支持基础设施建设。</w:t>
      </w:r>
      <w:r>
        <w:rPr>
          <w:rFonts w:hint="eastAsia" w:ascii="仿宋_GB2312" w:hAnsi="仿宋_GB2312" w:eastAsia="仿宋_GB2312" w:cs="仿宋_GB2312"/>
          <w:spacing w:val="0"/>
          <w:sz w:val="32"/>
          <w:szCs w:val="32"/>
        </w:rPr>
        <w:t>对企业投资建设的基础设施（符合低空产业发展需求的起降坪、垂直起降点、停机库、航空飞行营地、无人机自动值守机库、低空通导感知服务网络等），且固定资产投资在</w:t>
      </w:r>
      <w:r>
        <w:rPr>
          <w:rFonts w:hint="eastAsia" w:ascii="仿宋_GB2312" w:hAnsi="仿宋_GB2312" w:eastAsia="仿宋_GB2312" w:cs="仿宋_GB2312"/>
          <w:spacing w:val="0"/>
          <w:sz w:val="32"/>
          <w:szCs w:val="32"/>
          <w:lang w:val="en-US" w:eastAsia="zh-CN"/>
        </w:rPr>
        <w:t>100</w:t>
      </w:r>
      <w:r>
        <w:rPr>
          <w:rFonts w:hint="eastAsia" w:ascii="仿宋_GB2312" w:hAnsi="仿宋_GB2312" w:eastAsia="仿宋_GB2312" w:cs="仿宋_GB2312"/>
          <w:spacing w:val="0"/>
          <w:sz w:val="32"/>
          <w:szCs w:val="32"/>
        </w:rPr>
        <w:t>万元以上的，按照实际建设投入的5%给予一次性补贴，每套基础设施最高不超过20万元，每家企业每年度该项资助金额合计最高不超过100万元。</w:t>
      </w:r>
    </w:p>
    <w:p w14:paraId="7B80B5EE">
      <w:pPr>
        <w:pStyle w:val="2"/>
        <w:keepNext w:val="0"/>
        <w:keepLines w:val="0"/>
        <w:pageBreakBefore w:val="0"/>
        <w:widowControl w:val="0"/>
        <w:tabs>
          <w:tab w:val="left" w:pos="186"/>
        </w:tabs>
        <w:kinsoku w:val="0"/>
        <w:wordWrap/>
        <w:overflowPunct/>
        <w:topLinePunct w:val="0"/>
        <w:autoSpaceDE w:val="0"/>
        <w:autoSpaceDN w:val="0"/>
        <w:bidi w:val="0"/>
        <w:adjustRightInd w:val="0"/>
        <w:snapToGrid w:val="0"/>
        <w:spacing w:line="600" w:lineRule="exact"/>
        <w:ind w:left="0" w:right="0" w:firstLine="832"/>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3.拓展低空应用场景。</w:t>
      </w:r>
      <w:r>
        <w:rPr>
          <w:rFonts w:hint="eastAsia" w:ascii="仿宋_GB2312" w:hAnsi="仿宋_GB2312" w:eastAsia="仿宋_GB2312" w:cs="仿宋_GB2312"/>
          <w:spacing w:val="0"/>
          <w:sz w:val="32"/>
          <w:szCs w:val="32"/>
        </w:rPr>
        <w:t>对取得行业主管部门审批并使用小型、中大型无人驾驶航空器在县域内常态化开展物流配送业务（累计飞行架次分别不少于1000架次、500架次）的航线，每条新开航线给予一次性奖励10万元。对在本县获准开展低空旅游类（含空中游览、高空跳伞等）业务的企业，每人次按照实缴费用的10%给予补贴，每家企业每年度合计补助金额最高不超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t>100万元；对在本县获准开展飞行体验类业务的企业，给予200元/人次的补贴，每家企业每年度合计补助金额最高不超过100万元。对在本县开展eVTOL（电动垂直起降飞行器）载人飞行业务的企业，给予300元/人次的补贴，每家企业每年度合计补助金额最高不超过200万元。</w:t>
      </w:r>
    </w:p>
    <w:p w14:paraId="4203B4E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4"/>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4.支持开展低空赛事。</w:t>
      </w:r>
      <w:r>
        <w:rPr>
          <w:rFonts w:hint="eastAsia" w:ascii="仿宋_GB2312" w:hAnsi="仿宋_GB2312" w:eastAsia="仿宋_GB2312" w:cs="仿宋_GB2312"/>
          <w:spacing w:val="0"/>
          <w:sz w:val="32"/>
          <w:szCs w:val="32"/>
        </w:rPr>
        <w:t>企事业单位、社会团体在我县举办航空运动比赛、展览及飞行表演、体验活动等，对获省级、国家级以上审批或批复的，经审计按照实际发生费用的30%给予补助，单场不超过30万元、50万元。</w:t>
      </w:r>
    </w:p>
    <w:p w14:paraId="5D0F0E9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4"/>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5.</w:t>
      </w:r>
      <w:r>
        <w:rPr>
          <w:rFonts w:hint="eastAsia" w:ascii="仿宋_GB2312" w:hAnsi="仿宋_GB2312" w:eastAsia="仿宋_GB2312" w:cs="仿宋_GB2312"/>
          <w:spacing w:val="0"/>
          <w:sz w:val="32"/>
          <w:szCs w:val="32"/>
        </w:rPr>
        <w:t>对跨县域的低空货运物流航线和新开通的短途客运线，采取“一事一议”的办法另行约定。</w:t>
      </w:r>
    </w:p>
    <w:p w14:paraId="2B9CB8AF">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楷体_GB2312" w:hAnsi="楷体_GB2312" w:eastAsia="楷体_GB2312" w:cs="楷体_GB2312"/>
          <w:b/>
          <w:bCs/>
          <w:snapToGrid w:val="0"/>
          <w:color w:val="212529"/>
          <w:spacing w:val="0"/>
          <w:kern w:val="0"/>
          <w:sz w:val="32"/>
          <w:szCs w:val="32"/>
          <w:lang w:val="en-US" w:eastAsia="en-US" w:bidi="ar-SA"/>
        </w:rPr>
      </w:pPr>
      <w:r>
        <w:rPr>
          <w:rFonts w:hint="eastAsia" w:ascii="楷体_GB2312" w:hAnsi="楷体_GB2312" w:eastAsia="楷体_GB2312" w:cs="楷体_GB2312"/>
          <w:b/>
          <w:bCs/>
          <w:snapToGrid w:val="0"/>
          <w:color w:val="212529"/>
          <w:spacing w:val="0"/>
          <w:kern w:val="0"/>
          <w:sz w:val="32"/>
          <w:szCs w:val="32"/>
          <w:lang w:val="en-US" w:eastAsia="en-US" w:bidi="ar-SA"/>
        </w:rPr>
        <w:t>（十二）培育布局数字经济</w:t>
      </w:r>
    </w:p>
    <w:p w14:paraId="0E7ECAE8">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.支持智算设备投入。</w:t>
      </w:r>
      <w:r>
        <w:rPr>
          <w:rFonts w:hint="eastAsia" w:ascii="仿宋_GB2312" w:hAnsi="仿宋_GB2312" w:eastAsia="仿宋_GB2312" w:cs="仿宋_GB2312"/>
          <w:color w:val="212529"/>
          <w:spacing w:val="0"/>
          <w:sz w:val="32"/>
          <w:szCs w:val="32"/>
        </w:rPr>
        <w:t>对年度完成智算设备投入建设且数据中心智算规模在50P（16位精度）以上，按照年度新投入使用算力每1P（16位精度）1000元的标准，给予最高不超过200万元一次性奖补。</w:t>
      </w:r>
    </w:p>
    <w:p w14:paraId="031ECAD4">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5"/>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color w:val="212529"/>
          <w:spacing w:val="0"/>
          <w:sz w:val="32"/>
          <w:szCs w:val="32"/>
          <w:lang w:val="en-US" w:eastAsia="zh-CN"/>
        </w:rPr>
        <w:t>2</w:t>
      </w:r>
      <w:r>
        <w:rPr>
          <w:rFonts w:hint="eastAsia" w:ascii="仿宋_GB2312" w:hAnsi="仿宋_GB2312" w:eastAsia="仿宋_GB2312" w:cs="仿宋_GB2312"/>
          <w:b/>
          <w:bCs/>
          <w:color w:val="212529"/>
          <w:spacing w:val="0"/>
          <w:sz w:val="32"/>
          <w:szCs w:val="32"/>
        </w:rPr>
        <w:t>.支持批发零售业数字化。</w:t>
      </w:r>
      <w:r>
        <w:rPr>
          <w:rFonts w:hint="eastAsia" w:ascii="仿宋_GB2312" w:hAnsi="仿宋_GB2312" w:eastAsia="仿宋_GB2312" w:cs="仿宋_GB2312"/>
          <w:color w:val="212529"/>
          <w:spacing w:val="0"/>
          <w:sz w:val="32"/>
          <w:szCs w:val="32"/>
        </w:rPr>
        <w:t>对纳入数字经济核心产业的互联网批发零售企业，首次申报按上年度销售生活消费品、工业品等产品网上零售额，达到500万元、1000万元、2000万元、5000万元、1亿元的，且较上一年度增幅达到20%以上的，分别给予2万元、3万元、5万元、10万元、15万元一次性奖励。</w:t>
      </w:r>
    </w:p>
    <w:p w14:paraId="577F90EA">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4"/>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color w:val="212529"/>
          <w:spacing w:val="0"/>
          <w:sz w:val="32"/>
          <w:szCs w:val="32"/>
          <w:lang w:val="en-US" w:eastAsia="zh-CN"/>
        </w:rPr>
        <w:t>3</w:t>
      </w:r>
      <w:r>
        <w:rPr>
          <w:rFonts w:hint="eastAsia" w:ascii="仿宋_GB2312" w:hAnsi="仿宋_GB2312" w:eastAsia="仿宋_GB2312" w:cs="仿宋_GB2312"/>
          <w:b/>
          <w:bCs/>
          <w:color w:val="212529"/>
          <w:spacing w:val="0"/>
          <w:sz w:val="32"/>
          <w:szCs w:val="32"/>
        </w:rPr>
        <w:t>.支持数字企业科技创新。</w:t>
      </w:r>
      <w:r>
        <w:rPr>
          <w:rFonts w:hint="eastAsia" w:ascii="仿宋_GB2312" w:hAnsi="仿宋_GB2312" w:eastAsia="仿宋_GB2312" w:cs="仿宋_GB2312"/>
          <w:color w:val="212529"/>
          <w:spacing w:val="0"/>
          <w:sz w:val="32"/>
          <w:szCs w:val="32"/>
        </w:rPr>
        <w:t>对数据企业的原创性研发成果应用推广且年交易额达到500万元以上的，按照交易额的4%给予奖励，单个企业年度奖励不超过300万元。</w:t>
      </w:r>
    </w:p>
    <w:p w14:paraId="47C2110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仿宋_GB2312" w:eastAsia="仿宋_GB2312" w:cs="仿宋_GB2312"/>
          <w:spacing w:val="0"/>
          <w:sz w:val="32"/>
          <w:szCs w:val="32"/>
        </w:rPr>
      </w:pPr>
      <w:r>
        <w:rPr>
          <w:rFonts w:hint="eastAsia" w:ascii="黑体" w:hAnsi="黑体" w:eastAsia="黑体" w:cs="黑体"/>
          <w:color w:val="212529"/>
          <w:spacing w:val="0"/>
          <w:sz w:val="32"/>
          <w:szCs w:val="32"/>
        </w:rPr>
        <w:t>四、强化绩效考评，提升资金整体使用效能</w:t>
      </w:r>
    </w:p>
    <w:p w14:paraId="31B13BB7">
      <w:pPr>
        <w:keepNext w:val="0"/>
        <w:keepLines w:val="0"/>
        <w:pageBreakBefore w:val="0"/>
        <w:widowControl w:val="0"/>
        <w:wordWrap/>
        <w:overflowPunct/>
        <w:topLinePunct w:val="0"/>
        <w:bidi w:val="0"/>
        <w:spacing w:line="600" w:lineRule="exact"/>
        <w:ind w:firstLine="640" w:firstLineChars="200"/>
        <w:jc w:val="both"/>
        <w:outlineLvl w:val="9"/>
        <w:rPr>
          <w:rFonts w:hint="eastAsia" w:ascii="仿宋_GB2312" w:hAnsi="仿宋_GB2312" w:eastAsia="仿宋_GB2312" w:cs="仿宋_GB2312"/>
          <w:snapToGrid w:val="0"/>
          <w:color w:val="212529"/>
          <w:spacing w:val="0"/>
          <w:kern w:val="0"/>
          <w:sz w:val="32"/>
          <w:szCs w:val="32"/>
          <w:lang w:val="en-US" w:eastAsia="en-US" w:bidi="ar-SA"/>
        </w:rPr>
      </w:pPr>
      <w:r>
        <w:rPr>
          <w:rFonts w:hint="eastAsia" w:ascii="仿宋_GB2312" w:hAnsi="仿宋_GB2312" w:eastAsia="仿宋_GB2312" w:cs="仿宋_GB2312"/>
          <w:snapToGrid w:val="0"/>
          <w:color w:val="212529"/>
          <w:spacing w:val="0"/>
          <w:kern w:val="0"/>
          <w:sz w:val="32"/>
          <w:szCs w:val="32"/>
          <w:lang w:val="en-US" w:eastAsia="zh-CN" w:bidi="ar-SA"/>
        </w:rPr>
        <w:t>1.</w:t>
      </w:r>
      <w:r>
        <w:rPr>
          <w:rFonts w:hint="eastAsia" w:ascii="仿宋_GB2312" w:hAnsi="仿宋_GB2312" w:eastAsia="仿宋_GB2312" w:cs="仿宋_GB2312"/>
          <w:snapToGrid w:val="0"/>
          <w:color w:val="212529"/>
          <w:spacing w:val="0"/>
          <w:kern w:val="0"/>
          <w:sz w:val="32"/>
          <w:szCs w:val="32"/>
          <w:lang w:val="en-US" w:eastAsia="en-US" w:bidi="ar-SA"/>
        </w:rPr>
        <w:t>本优惠政策所涉及的企业是指</w:t>
      </w:r>
      <w:r>
        <w:rPr>
          <w:rFonts w:hint="eastAsia" w:ascii="仿宋_GB2312" w:hAnsi="仿宋_GB2312" w:eastAsia="仿宋_GB2312" w:cs="仿宋_GB2312"/>
          <w:snapToGrid w:val="0"/>
          <w:color w:val="212529"/>
          <w:spacing w:val="0"/>
          <w:kern w:val="0"/>
          <w:sz w:val="32"/>
          <w:szCs w:val="32"/>
          <w:lang w:val="en-US" w:eastAsia="zh-CN" w:bidi="ar-SA"/>
        </w:rPr>
        <w:t>在</w:t>
      </w:r>
      <w:r>
        <w:rPr>
          <w:rFonts w:hint="eastAsia" w:ascii="仿宋_GB2312" w:hAnsi="仿宋_GB2312" w:eastAsia="仿宋_GB2312" w:cs="仿宋_GB2312"/>
          <w:snapToGrid w:val="0"/>
          <w:color w:val="212529"/>
          <w:spacing w:val="0"/>
          <w:kern w:val="0"/>
          <w:sz w:val="32"/>
          <w:szCs w:val="32"/>
          <w:lang w:val="en-US" w:eastAsia="en-US" w:bidi="ar-SA"/>
        </w:rPr>
        <w:t>竹山范围内</w:t>
      </w:r>
      <w:r>
        <w:rPr>
          <w:rFonts w:hint="eastAsia" w:ascii="仿宋_GB2312" w:hAnsi="仿宋_GB2312" w:eastAsia="仿宋_GB2312" w:cs="仿宋_GB2312"/>
          <w:snapToGrid w:val="0"/>
          <w:color w:val="212529"/>
          <w:spacing w:val="0"/>
          <w:kern w:val="0"/>
          <w:sz w:val="32"/>
          <w:szCs w:val="32"/>
          <w:lang w:val="en-US" w:eastAsia="zh-CN" w:bidi="ar-SA"/>
        </w:rPr>
        <w:t>生产经营</w:t>
      </w:r>
      <w:r>
        <w:rPr>
          <w:rFonts w:hint="eastAsia" w:ascii="仿宋_GB2312" w:hAnsi="仿宋_GB2312" w:eastAsia="仿宋_GB2312" w:cs="仿宋_GB2312"/>
          <w:snapToGrid w:val="0"/>
          <w:color w:val="212529"/>
          <w:spacing w:val="0"/>
          <w:kern w:val="0"/>
          <w:sz w:val="32"/>
          <w:szCs w:val="32"/>
          <w:lang w:val="en-US" w:eastAsia="en-US" w:bidi="ar-SA"/>
        </w:rPr>
        <w:t>的企业。</w:t>
      </w:r>
    </w:p>
    <w:p w14:paraId="7450698D">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0" w:firstLineChars="200"/>
        <w:jc w:val="both"/>
        <w:textAlignment w:val="baseline"/>
        <w:outlineLvl w:val="9"/>
        <w:rPr>
          <w:rFonts w:hint="eastAsia" w:ascii="仿宋_GB2312" w:hAnsi="仿宋_GB2312" w:eastAsia="仿宋_GB2312" w:cs="仿宋_GB2312"/>
          <w:snapToGrid w:val="0"/>
          <w:color w:val="212529"/>
          <w:spacing w:val="0"/>
          <w:kern w:val="0"/>
          <w:sz w:val="32"/>
          <w:szCs w:val="32"/>
          <w:lang w:val="en-US" w:eastAsia="en-US" w:bidi="ar-SA"/>
        </w:rPr>
      </w:pPr>
      <w:r>
        <w:rPr>
          <w:rFonts w:hint="eastAsia" w:ascii="仿宋_GB2312" w:hAnsi="仿宋_GB2312" w:eastAsia="仿宋_GB2312" w:cs="仿宋_GB2312"/>
          <w:snapToGrid w:val="0"/>
          <w:color w:val="212529"/>
          <w:spacing w:val="0"/>
          <w:kern w:val="0"/>
          <w:sz w:val="32"/>
          <w:szCs w:val="32"/>
          <w:lang w:val="en-US" w:eastAsia="zh-CN" w:bidi="ar-SA"/>
        </w:rPr>
        <w:t>2.</w:t>
      </w:r>
      <w:r>
        <w:rPr>
          <w:rFonts w:hint="eastAsia" w:ascii="仿宋_GB2312" w:hAnsi="仿宋_GB2312" w:eastAsia="仿宋_GB2312" w:cs="仿宋_GB2312"/>
          <w:snapToGrid w:val="0"/>
          <w:color w:val="212529"/>
          <w:spacing w:val="0"/>
          <w:kern w:val="0"/>
          <w:sz w:val="32"/>
          <w:szCs w:val="32"/>
          <w:lang w:val="en-US" w:eastAsia="en-US" w:bidi="ar-SA"/>
        </w:rPr>
        <w:t>本政策措施自印发之日起施行，有效期</w:t>
      </w:r>
      <w:r>
        <w:rPr>
          <w:rFonts w:hint="eastAsia" w:ascii="仿宋_GB2312" w:hAnsi="仿宋_GB2312" w:eastAsia="仿宋_GB2312" w:cs="仿宋_GB2312"/>
          <w:snapToGrid w:val="0"/>
          <w:color w:val="212529"/>
          <w:spacing w:val="0"/>
          <w:kern w:val="0"/>
          <w:sz w:val="32"/>
          <w:szCs w:val="32"/>
          <w:lang w:val="en-US" w:eastAsia="zh-CN" w:bidi="ar-SA"/>
        </w:rPr>
        <w:t>至XX年X月X日</w:t>
      </w:r>
      <w:r>
        <w:rPr>
          <w:rFonts w:hint="eastAsia" w:ascii="仿宋_GB2312" w:hAnsi="仿宋_GB2312" w:eastAsia="仿宋_GB2312" w:cs="仿宋_GB2312"/>
          <w:snapToGrid w:val="0"/>
          <w:color w:val="212529"/>
          <w:spacing w:val="0"/>
          <w:kern w:val="0"/>
          <w:sz w:val="32"/>
          <w:szCs w:val="32"/>
          <w:lang w:val="en-US" w:eastAsia="en-US" w:bidi="ar-SA"/>
        </w:rPr>
        <w:t>。由县财政局会同相关部门制定相关支持政策实施细则，并建立企业遴选机制，面向各产业所有市场主体公开组织申报。</w:t>
      </w:r>
      <w:r>
        <w:rPr>
          <w:rFonts w:hint="eastAsia" w:ascii="仿宋_GB2312" w:hAnsi="仿宋_GB2312" w:eastAsia="仿宋_GB2312" w:cs="仿宋_GB2312"/>
          <w:snapToGrid w:val="0"/>
          <w:color w:val="212529"/>
          <w:spacing w:val="0"/>
          <w:kern w:val="0"/>
          <w:sz w:val="32"/>
          <w:szCs w:val="32"/>
          <w:lang w:val="en-US" w:eastAsia="zh-CN" w:bidi="ar-SA"/>
        </w:rPr>
        <w:t>对同一企业同类奖补事项按“就高不重复”原则执行，已享受市级奖补的企业不再重复享受县级奖补政策</w:t>
      </w:r>
      <w:r>
        <w:rPr>
          <w:rFonts w:hint="eastAsia" w:ascii="仿宋_GB2312" w:hAnsi="仿宋_GB2312" w:eastAsia="仿宋_GB2312" w:cs="仿宋_GB2312"/>
          <w:snapToGrid w:val="0"/>
          <w:color w:val="212529"/>
          <w:spacing w:val="0"/>
          <w:kern w:val="0"/>
          <w:sz w:val="32"/>
          <w:szCs w:val="32"/>
          <w:lang w:val="en-US" w:eastAsia="en-US" w:bidi="ar-SA"/>
        </w:rPr>
        <w:t>。原有政策文件相关条款与本措施不一致的，按本措施执行。</w:t>
      </w:r>
    </w:p>
    <w:p w14:paraId="7503EAA4">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420"/>
        <w:jc w:val="both"/>
        <w:textAlignment w:val="baseline"/>
        <w:outlineLvl w:val="9"/>
        <w:rPr>
          <w:rFonts w:hint="eastAsia" w:ascii="仿宋_GB2312" w:hAnsi="仿宋_GB2312" w:eastAsia="仿宋_GB2312" w:cs="仿宋_GB2312"/>
          <w:color w:val="212529"/>
          <w:spacing w:val="0"/>
          <w:sz w:val="32"/>
          <w:szCs w:val="32"/>
          <w:lang w:val="en-US" w:eastAsia="zh-CN"/>
        </w:rPr>
      </w:pPr>
    </w:p>
    <w:p w14:paraId="22523782">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420"/>
        <w:jc w:val="both"/>
        <w:textAlignment w:val="baseline"/>
        <w:outlineLvl w:val="9"/>
        <w:rPr>
          <w:rFonts w:hint="eastAsia" w:ascii="仿宋_GB2312" w:hAnsi="仿宋_GB2312" w:eastAsia="仿宋_GB2312" w:cs="仿宋_GB2312"/>
          <w:color w:val="212529"/>
          <w:spacing w:val="0"/>
          <w:sz w:val="32"/>
          <w:szCs w:val="32"/>
          <w:lang w:val="en-US" w:eastAsia="zh-CN"/>
        </w:rPr>
      </w:pPr>
      <w:r>
        <w:rPr>
          <w:rFonts w:hint="eastAsia" w:ascii="仿宋_GB2312" w:hAnsi="仿宋_GB2312" w:eastAsia="仿宋_GB2312" w:cs="仿宋_GB2312"/>
          <w:color w:val="212529"/>
          <w:spacing w:val="0"/>
          <w:sz w:val="32"/>
          <w:szCs w:val="32"/>
          <w:lang w:val="en-US" w:eastAsia="zh-CN"/>
        </w:rPr>
        <w:t>附件：征求意见表</w:t>
      </w:r>
    </w:p>
    <w:p w14:paraId="6FA7BA18">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420"/>
        <w:jc w:val="both"/>
        <w:textAlignment w:val="baseline"/>
        <w:outlineLvl w:val="9"/>
        <w:rPr>
          <w:rFonts w:hint="eastAsia" w:ascii="仿宋_GB2312" w:hAnsi="仿宋_GB2312" w:eastAsia="仿宋_GB2312" w:cs="仿宋_GB2312"/>
          <w:color w:val="212529"/>
          <w:spacing w:val="0"/>
          <w:sz w:val="32"/>
          <w:szCs w:val="32"/>
          <w:lang w:val="en-US" w:eastAsia="zh-CN"/>
        </w:rPr>
      </w:pPr>
    </w:p>
    <w:p w14:paraId="34E8677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420"/>
        <w:jc w:val="both"/>
        <w:textAlignment w:val="baseline"/>
        <w:outlineLvl w:val="9"/>
        <w:rPr>
          <w:rFonts w:hint="eastAsia" w:ascii="仿宋_GB2312" w:hAnsi="仿宋_GB2312" w:eastAsia="仿宋_GB2312" w:cs="仿宋_GB2312"/>
          <w:color w:val="212529"/>
          <w:spacing w:val="0"/>
          <w:sz w:val="32"/>
          <w:szCs w:val="32"/>
          <w:lang w:val="en-US" w:eastAsia="zh-CN"/>
        </w:rPr>
      </w:pPr>
    </w:p>
    <w:p w14:paraId="7BDEADE4">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left"/>
        <w:textAlignment w:val="baseline"/>
        <w:outlineLvl w:val="9"/>
        <w:rPr>
          <w:rFonts w:hint="eastAsia" w:ascii="仿宋_GB2312" w:hAnsi="仿宋_GB2312" w:eastAsia="仿宋_GB2312" w:cs="仿宋_GB2312"/>
          <w:color w:val="212529"/>
          <w:spacing w:val="0"/>
          <w:sz w:val="32"/>
          <w:szCs w:val="32"/>
          <w:lang w:val="en-US" w:eastAsia="zh-CN"/>
        </w:rPr>
      </w:pPr>
    </w:p>
    <w:p w14:paraId="0AE0433B">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outlineLvl w:val="9"/>
        <w:rPr>
          <w:rFonts w:hint="eastAsia" w:ascii="仿宋_GB2312" w:hAnsi="仿宋_GB2312" w:eastAsia="仿宋_GB2312" w:cs="仿宋_GB2312"/>
          <w:color w:val="212529"/>
          <w:spacing w:val="0"/>
          <w:sz w:val="32"/>
          <w:szCs w:val="32"/>
          <w:lang w:val="en-US" w:eastAsia="zh-CN"/>
        </w:rPr>
      </w:pPr>
      <w:r>
        <w:rPr>
          <w:rFonts w:hint="eastAsia" w:ascii="方正小标宋简体" w:hAnsi="方正小标宋简体" w:eastAsia="方正小标宋简体" w:cs="方正小标宋简体"/>
          <w:color w:val="212529"/>
          <w:spacing w:val="0"/>
          <w:sz w:val="36"/>
          <w:szCs w:val="36"/>
          <w:lang w:val="en-US" w:eastAsia="zh-CN"/>
        </w:rPr>
        <w:t>征求意见表</w:t>
      </w:r>
    </w:p>
    <w:tbl>
      <w:tblPr>
        <w:tblStyle w:val="5"/>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775"/>
        <w:gridCol w:w="1775"/>
        <w:gridCol w:w="3618"/>
      </w:tblGrid>
      <w:tr w14:paraId="2AAE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1775" w:type="dxa"/>
            <w:noWrap w:val="0"/>
            <w:vAlign w:val="center"/>
          </w:tcPr>
          <w:p w14:paraId="0460BD3C">
            <w:pPr>
              <w:snapToGrid w:val="0"/>
              <w:ind w:left="0" w:leftChars="0" w:right="0" w:rightChars="0" w:firstLine="0" w:firstLineChars="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序号</w:t>
            </w:r>
          </w:p>
        </w:tc>
        <w:tc>
          <w:tcPr>
            <w:tcW w:w="1775" w:type="dxa"/>
            <w:noWrap w:val="0"/>
            <w:vAlign w:val="center"/>
          </w:tcPr>
          <w:p w14:paraId="0FD70A78">
            <w:pPr>
              <w:snapToGrid w:val="0"/>
              <w:ind w:left="0" w:leftChars="0" w:right="0" w:rightChars="0" w:firstLine="0" w:firstLineChars="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姓名</w:t>
            </w:r>
          </w:p>
        </w:tc>
        <w:tc>
          <w:tcPr>
            <w:tcW w:w="1775" w:type="dxa"/>
            <w:noWrap w:val="0"/>
            <w:vAlign w:val="center"/>
          </w:tcPr>
          <w:p w14:paraId="169CE907">
            <w:pPr>
              <w:snapToGrid w:val="0"/>
              <w:ind w:left="0" w:leftChars="0" w:right="0" w:rightChars="0" w:firstLine="0" w:firstLineChars="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职务</w:t>
            </w:r>
          </w:p>
        </w:tc>
        <w:tc>
          <w:tcPr>
            <w:tcW w:w="3618" w:type="dxa"/>
            <w:noWrap w:val="0"/>
            <w:vAlign w:val="center"/>
          </w:tcPr>
          <w:p w14:paraId="7D9A9C5A">
            <w:pPr>
              <w:snapToGrid w:val="0"/>
              <w:ind w:left="0" w:leftChars="0" w:right="0" w:rightChars="0" w:firstLine="0" w:firstLineChars="0"/>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意见及建议</w:t>
            </w:r>
          </w:p>
        </w:tc>
      </w:tr>
      <w:tr w14:paraId="2794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75" w:type="dxa"/>
            <w:noWrap w:val="0"/>
            <w:vAlign w:val="center"/>
          </w:tcPr>
          <w:p w14:paraId="4A38CEE8">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716AA497">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474C259E">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3A86C250">
            <w:pPr>
              <w:snapToGrid w:val="0"/>
              <w:ind w:left="0" w:leftChars="0" w:right="0" w:rightChars="0" w:firstLine="0" w:firstLineChars="0"/>
              <w:jc w:val="center"/>
              <w:rPr>
                <w:rFonts w:hint="eastAsia" w:ascii="仿宋_GB2312" w:hAnsi="仿宋_GB2312" w:eastAsia="仿宋_GB2312" w:cs="仿宋_GB2312"/>
                <w:sz w:val="22"/>
                <w:szCs w:val="22"/>
              </w:rPr>
            </w:pPr>
          </w:p>
        </w:tc>
      </w:tr>
      <w:tr w14:paraId="0506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75" w:type="dxa"/>
            <w:noWrap w:val="0"/>
            <w:vAlign w:val="center"/>
          </w:tcPr>
          <w:p w14:paraId="402B9B0A">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6B747276">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073EC598">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550B68D3">
            <w:pPr>
              <w:snapToGrid w:val="0"/>
              <w:ind w:left="0" w:leftChars="0" w:right="0" w:rightChars="0" w:firstLine="0" w:firstLineChars="0"/>
              <w:jc w:val="center"/>
              <w:rPr>
                <w:rFonts w:hint="eastAsia" w:ascii="仿宋_GB2312" w:hAnsi="仿宋_GB2312" w:eastAsia="仿宋_GB2312" w:cs="仿宋_GB2312"/>
                <w:sz w:val="22"/>
                <w:szCs w:val="22"/>
              </w:rPr>
            </w:pPr>
          </w:p>
        </w:tc>
      </w:tr>
      <w:tr w14:paraId="069A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5" w:type="dxa"/>
            <w:noWrap w:val="0"/>
            <w:vAlign w:val="center"/>
          </w:tcPr>
          <w:p w14:paraId="778C0FCA">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05216E19">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6C2F859D">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576081B9">
            <w:pPr>
              <w:snapToGrid w:val="0"/>
              <w:ind w:left="0" w:leftChars="0" w:right="0" w:rightChars="0" w:firstLine="0" w:firstLineChars="0"/>
              <w:jc w:val="center"/>
              <w:rPr>
                <w:rFonts w:hint="eastAsia" w:ascii="仿宋_GB2312" w:hAnsi="仿宋_GB2312" w:eastAsia="仿宋_GB2312" w:cs="仿宋_GB2312"/>
                <w:sz w:val="22"/>
                <w:szCs w:val="22"/>
              </w:rPr>
            </w:pPr>
          </w:p>
        </w:tc>
      </w:tr>
      <w:tr w14:paraId="3974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75" w:type="dxa"/>
            <w:noWrap w:val="0"/>
            <w:vAlign w:val="center"/>
          </w:tcPr>
          <w:p w14:paraId="44A032A5">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3D750BF8">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2C5F575F">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606AB9FE">
            <w:pPr>
              <w:snapToGrid w:val="0"/>
              <w:ind w:left="0" w:leftChars="0" w:right="0" w:rightChars="0" w:firstLine="0" w:firstLineChars="0"/>
              <w:jc w:val="center"/>
              <w:rPr>
                <w:rFonts w:hint="eastAsia" w:ascii="仿宋_GB2312" w:hAnsi="仿宋_GB2312" w:eastAsia="仿宋_GB2312" w:cs="仿宋_GB2312"/>
                <w:sz w:val="22"/>
                <w:szCs w:val="22"/>
              </w:rPr>
            </w:pPr>
          </w:p>
        </w:tc>
      </w:tr>
      <w:tr w14:paraId="1FA5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75" w:type="dxa"/>
            <w:noWrap w:val="0"/>
            <w:vAlign w:val="center"/>
          </w:tcPr>
          <w:p w14:paraId="418AFB1A">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49E5243D">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1B0E0F07">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0C0B6143">
            <w:pPr>
              <w:snapToGrid w:val="0"/>
              <w:ind w:left="0" w:leftChars="0" w:right="0" w:rightChars="0" w:firstLine="0" w:firstLineChars="0"/>
              <w:jc w:val="center"/>
              <w:rPr>
                <w:rFonts w:hint="eastAsia" w:ascii="仿宋_GB2312" w:hAnsi="仿宋_GB2312" w:eastAsia="仿宋_GB2312" w:cs="仿宋_GB2312"/>
                <w:sz w:val="22"/>
                <w:szCs w:val="22"/>
              </w:rPr>
            </w:pPr>
          </w:p>
        </w:tc>
      </w:tr>
      <w:tr w14:paraId="03A4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75" w:type="dxa"/>
            <w:noWrap w:val="0"/>
            <w:vAlign w:val="center"/>
          </w:tcPr>
          <w:p w14:paraId="79D1A876">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2D27B064">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6F28097F">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5C853B5E">
            <w:pPr>
              <w:snapToGrid w:val="0"/>
              <w:ind w:left="0" w:leftChars="0" w:right="0" w:rightChars="0" w:firstLine="0" w:firstLineChars="0"/>
              <w:jc w:val="center"/>
              <w:rPr>
                <w:rFonts w:hint="eastAsia" w:ascii="仿宋_GB2312" w:hAnsi="仿宋_GB2312" w:eastAsia="仿宋_GB2312" w:cs="仿宋_GB2312"/>
                <w:sz w:val="22"/>
                <w:szCs w:val="22"/>
              </w:rPr>
            </w:pPr>
          </w:p>
        </w:tc>
      </w:tr>
      <w:tr w14:paraId="11ED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775" w:type="dxa"/>
            <w:noWrap w:val="0"/>
            <w:vAlign w:val="center"/>
          </w:tcPr>
          <w:p w14:paraId="7BBA5327">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0073AA1B">
            <w:pPr>
              <w:snapToGrid w:val="0"/>
              <w:ind w:left="0" w:leftChars="0" w:right="0" w:rightChars="0" w:firstLine="0" w:firstLineChars="0"/>
              <w:jc w:val="center"/>
              <w:rPr>
                <w:rFonts w:hint="eastAsia" w:ascii="仿宋_GB2312" w:hAnsi="仿宋_GB2312" w:eastAsia="仿宋_GB2312" w:cs="仿宋_GB2312"/>
                <w:sz w:val="22"/>
                <w:szCs w:val="22"/>
              </w:rPr>
            </w:pPr>
          </w:p>
        </w:tc>
        <w:tc>
          <w:tcPr>
            <w:tcW w:w="1775" w:type="dxa"/>
            <w:noWrap w:val="0"/>
            <w:vAlign w:val="center"/>
          </w:tcPr>
          <w:p w14:paraId="702EF73F">
            <w:pPr>
              <w:snapToGrid w:val="0"/>
              <w:ind w:left="0" w:leftChars="0" w:right="0" w:rightChars="0" w:firstLine="0" w:firstLineChars="0"/>
              <w:jc w:val="center"/>
              <w:rPr>
                <w:rFonts w:hint="eastAsia" w:ascii="仿宋_GB2312" w:hAnsi="仿宋_GB2312" w:eastAsia="仿宋_GB2312" w:cs="仿宋_GB2312"/>
                <w:sz w:val="22"/>
                <w:szCs w:val="22"/>
              </w:rPr>
            </w:pPr>
          </w:p>
        </w:tc>
        <w:tc>
          <w:tcPr>
            <w:tcW w:w="3618" w:type="dxa"/>
            <w:noWrap w:val="0"/>
            <w:vAlign w:val="center"/>
          </w:tcPr>
          <w:p w14:paraId="426F1DBA">
            <w:pPr>
              <w:snapToGrid w:val="0"/>
              <w:ind w:left="0" w:leftChars="0" w:right="0" w:rightChars="0" w:firstLine="0" w:firstLineChars="0"/>
              <w:jc w:val="center"/>
              <w:rPr>
                <w:rFonts w:hint="eastAsia" w:ascii="仿宋_GB2312" w:hAnsi="仿宋_GB2312" w:eastAsia="仿宋_GB2312" w:cs="仿宋_GB2312"/>
                <w:sz w:val="22"/>
                <w:szCs w:val="22"/>
              </w:rPr>
            </w:pPr>
          </w:p>
        </w:tc>
      </w:tr>
    </w:tbl>
    <w:p w14:paraId="51480B6F">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420"/>
        <w:jc w:val="both"/>
        <w:textAlignment w:val="baseline"/>
        <w:outlineLvl w:val="9"/>
        <w:rPr>
          <w:rFonts w:hint="default" w:ascii="仿宋_GB2312" w:hAnsi="仿宋_GB2312" w:eastAsia="仿宋_GB2312" w:cs="仿宋_GB2312"/>
          <w:color w:val="212529"/>
          <w:spacing w:val="0"/>
          <w:sz w:val="32"/>
          <w:szCs w:val="32"/>
          <w:lang w:val="en-US" w:eastAsia="zh-CN"/>
        </w:rPr>
      </w:pPr>
    </w:p>
    <w:sectPr>
      <w:footerReference r:id="rId5" w:type="default"/>
      <w:pgSz w:w="11906" w:h="16839"/>
      <w:pgMar w:top="2098" w:right="1587" w:bottom="1871" w:left="1587" w:header="0" w:footer="9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7B69">
    <w:pPr>
      <w:spacing w:line="265" w:lineRule="exact"/>
      <w:ind w:left="7"/>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F7DD0">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F7DD0">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0C77D8"/>
    <w:rsid w:val="05F219A7"/>
    <w:rsid w:val="09B72B03"/>
    <w:rsid w:val="0CF90EA0"/>
    <w:rsid w:val="0E1327A4"/>
    <w:rsid w:val="10470363"/>
    <w:rsid w:val="13E41AAE"/>
    <w:rsid w:val="14C15DCF"/>
    <w:rsid w:val="17BA3DAA"/>
    <w:rsid w:val="18E13BCB"/>
    <w:rsid w:val="1F670817"/>
    <w:rsid w:val="219F38AE"/>
    <w:rsid w:val="2CB34771"/>
    <w:rsid w:val="318D6246"/>
    <w:rsid w:val="32507D3E"/>
    <w:rsid w:val="33213985"/>
    <w:rsid w:val="352049B2"/>
    <w:rsid w:val="35F74CA6"/>
    <w:rsid w:val="36FB4317"/>
    <w:rsid w:val="397B767F"/>
    <w:rsid w:val="3A3D277F"/>
    <w:rsid w:val="3BED0100"/>
    <w:rsid w:val="42184F55"/>
    <w:rsid w:val="44EA1BBD"/>
    <w:rsid w:val="46301DBB"/>
    <w:rsid w:val="4C192751"/>
    <w:rsid w:val="4CF82948"/>
    <w:rsid w:val="4EA529C9"/>
    <w:rsid w:val="4EC001D9"/>
    <w:rsid w:val="51CD76C4"/>
    <w:rsid w:val="51D610EC"/>
    <w:rsid w:val="55E55DA1"/>
    <w:rsid w:val="55F85AD5"/>
    <w:rsid w:val="5B490021"/>
    <w:rsid w:val="5DB03139"/>
    <w:rsid w:val="5F944AC0"/>
    <w:rsid w:val="636B1FDC"/>
    <w:rsid w:val="66390941"/>
    <w:rsid w:val="69EC21B2"/>
    <w:rsid w:val="6B5F0C17"/>
    <w:rsid w:val="6C6B6BA9"/>
    <w:rsid w:val="6F214762"/>
    <w:rsid w:val="6F415AFC"/>
    <w:rsid w:val="70A628A5"/>
    <w:rsid w:val="77DC4DFE"/>
    <w:rsid w:val="79775F91"/>
    <w:rsid w:val="7B470208"/>
    <w:rsid w:val="7D657644"/>
    <w:rsid w:val="7EB51F05"/>
    <w:rsid w:val="FFEF1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6077</Words>
  <Characters>6429</Characters>
  <TotalTime>6</TotalTime>
  <ScaleCrop>false</ScaleCrop>
  <LinksUpToDate>false</LinksUpToDate>
  <CharactersWithSpaces>6433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2025-09-12T23:05:00Z</dcterms:created>
  <dc:creator>Administrator</dc:creator>
  <cp:lastModifiedBy>dell</cp:lastModifiedBy>
  <cp:lastPrinted>2025-09-30T10:29:00Z</cp:lastPrinted>
  <dcterms:modified xsi:type="dcterms:W3CDTF">2025-11-10T09:20:21Z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2025-09-19T11:09:24Z</vt:filetime>
  </property>
  <property fmtid="{D5CDD505-2E9C-101B-9397-08002B2CF9AE}" pid="4" name="KSOTemplateDocerSaveRecord">
    <vt:lpwstr>eyJoZGlkIjoiMDUwNGEwZjMxMjJhZjc1NDU4ZDM2NTQ3MDYwYzM3NTYifQ==</vt:lpwstr>
  </property>
  <property fmtid="{D5CDD505-2E9C-101B-9397-08002B2CF9AE}" pid="5" name="KSOProductBuildVer">
    <vt:lpwstr>2052-12.1.0.23542</vt:lpwstr>
  </property>
  <property fmtid="{D5CDD505-2E9C-101B-9397-08002B2CF9AE}" pid="6" name="ICV">
    <vt:lpwstr>F22FEDCFDE984ABABF68FE578A27FCF4_13</vt:lpwstr>
  </property>
</Properties>
</file>