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00" w:lineRule="exact"/>
        <w:jc w:val="center"/>
        <w:rPr>
          <w:rFonts w:hint="eastAsia" w:ascii="宋体" w:hAnsi="新宋体"/>
          <w:b/>
          <w:bCs/>
          <w:color w:val="auto"/>
          <w:spacing w:val="60"/>
          <w:sz w:val="36"/>
          <w:highlight w:val="none"/>
        </w:rPr>
      </w:pPr>
      <w:r>
        <w:rPr>
          <w:rFonts w:ascii="宋体" w:hAnsi="新宋体"/>
          <w:b/>
          <w:bCs/>
          <w:color w:val="auto"/>
          <w:spacing w:val="60"/>
          <w:sz w:val="20"/>
          <w:highlight w:val="none"/>
        </w:rPr>
        <mc:AlternateContent>
          <mc:Choice Requires="wps">
            <w:drawing>
              <wp:anchor distT="0" distB="0" distL="114300" distR="114300" simplePos="0" relativeHeight="251659264" behindDoc="0" locked="0" layoutInCell="1" allowOverlap="1">
                <wp:simplePos x="0" y="0"/>
                <wp:positionH relativeFrom="column">
                  <wp:posOffset>4335780</wp:posOffset>
                </wp:positionH>
                <wp:positionV relativeFrom="paragraph">
                  <wp:posOffset>-396240</wp:posOffset>
                </wp:positionV>
                <wp:extent cx="1078230" cy="297180"/>
                <wp:effectExtent l="0" t="0" r="7620" b="7620"/>
                <wp:wrapNone/>
                <wp:docPr id="1" name="文本框 1"/>
                <wp:cNvGraphicFramePr/>
                <a:graphic xmlns:a="http://schemas.openxmlformats.org/drawingml/2006/main">
                  <a:graphicData uri="http://schemas.microsoft.com/office/word/2010/wordprocessingShape">
                    <wps:wsp>
                      <wps:cNvSpPr txBox="1"/>
                      <wps:spPr>
                        <a:xfrm>
                          <a:off x="0" y="0"/>
                          <a:ext cx="1078230" cy="297180"/>
                        </a:xfrm>
                        <a:prstGeom prst="rect">
                          <a:avLst/>
                        </a:prstGeom>
                        <a:solidFill>
                          <a:srgbClr val="FFFFFF"/>
                        </a:solidFill>
                        <a:ln>
                          <a:noFill/>
                        </a:ln>
                      </wps:spPr>
                      <wps:txbx>
                        <w:txbxContent>
                          <w:p>
                            <w:pPr>
                              <w:rPr>
                                <w:color w:val="FFFFFF"/>
                              </w:rPr>
                            </w:pPr>
                          </w:p>
                        </w:txbxContent>
                      </wps:txbx>
                      <wps:bodyPr upright="1"/>
                    </wps:wsp>
                  </a:graphicData>
                </a:graphic>
              </wp:anchor>
            </w:drawing>
          </mc:Choice>
          <mc:Fallback>
            <w:pict>
              <v:shape id="_x0000_s1026" o:spid="_x0000_s1026" o:spt="202" type="#_x0000_t202" style="position:absolute;left:0pt;margin-left:341.4pt;margin-top:-31.2pt;height:23.4pt;width:84.9pt;z-index:251659264;mso-width-relative:page;mso-height-relative:page;" fillcolor="#FFFFFF" filled="t" stroked="f" coordsize="21600,21600" o:gfxdata="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j4IAi2QAAAAsBAAAPAAAAAAAAAAEAIAAAACIAAABkcnMvZG93bnJldi54&#10;bWxQSwECFAAUAAAACACHTuJA4+izxMABAAB3AwAADgAAAAAAAAABACAAAAAoAQAAZHJzL2Uyb0Rv&#10;Yy54bWxQSwUGAAAAAAYABgBZAQAAWgUAAAAA&#10;">
                <v:fill on="t" focussize="0,0"/>
                <v:stroke on="f"/>
                <v:imagedata o:title=""/>
                <o:lock v:ext="edit" aspectratio="f"/>
                <v:textbox>
                  <w:txbxContent>
                    <w:p>
                      <w:pPr>
                        <w:rPr>
                          <w:color w:val="FFFFFF"/>
                        </w:rPr>
                      </w:pPr>
                    </w:p>
                  </w:txbxContent>
                </v:textbox>
              </v:shape>
            </w:pict>
          </mc:Fallback>
        </mc:AlternateContent>
      </w:r>
    </w:p>
    <w:p>
      <w:pPr>
        <w:spacing w:line="500" w:lineRule="exact"/>
        <w:jc w:val="center"/>
        <w:rPr>
          <w:rFonts w:hint="eastAsia" w:ascii="宋体" w:hAnsi="新宋体"/>
          <w:b/>
          <w:bCs/>
          <w:color w:val="auto"/>
          <w:spacing w:val="60"/>
          <w:sz w:val="36"/>
          <w:highlight w:val="none"/>
        </w:rPr>
      </w:pPr>
    </w:p>
    <w:p>
      <w:pPr>
        <w:spacing w:line="500" w:lineRule="exact"/>
        <w:jc w:val="center"/>
        <w:rPr>
          <w:rFonts w:hint="eastAsia" w:ascii="宋体" w:hAnsi="新宋体"/>
          <w:b/>
          <w:bCs/>
          <w:color w:val="auto"/>
          <w:spacing w:val="20"/>
          <w:sz w:val="36"/>
          <w:szCs w:val="36"/>
          <w:highlight w:val="none"/>
        </w:rPr>
      </w:pPr>
      <w:r>
        <w:rPr>
          <w:rFonts w:hint="eastAsia" w:ascii="宋体" w:hAnsi="新宋体"/>
          <w:b/>
          <w:bCs/>
          <w:color w:val="auto"/>
          <w:spacing w:val="20"/>
          <w:sz w:val="36"/>
          <w:szCs w:val="36"/>
          <w:highlight w:val="none"/>
        </w:rPr>
        <w:t>房地产</w:t>
      </w:r>
      <w:r>
        <w:rPr>
          <w:rFonts w:hint="eastAsia" w:ascii="宋体" w:hAnsi="新宋体"/>
          <w:b/>
          <w:bCs/>
          <w:color w:val="auto"/>
          <w:spacing w:val="20"/>
          <w:sz w:val="36"/>
          <w:szCs w:val="36"/>
          <w:highlight w:val="none"/>
          <w:lang w:val="en-US" w:eastAsia="zh-CN"/>
        </w:rPr>
        <w:t>市场租赁价格评估</w:t>
      </w:r>
      <w:r>
        <w:rPr>
          <w:rFonts w:hint="eastAsia" w:ascii="宋体" w:hAnsi="新宋体"/>
          <w:b/>
          <w:bCs/>
          <w:color w:val="auto"/>
          <w:spacing w:val="20"/>
          <w:sz w:val="36"/>
          <w:szCs w:val="36"/>
          <w:highlight w:val="none"/>
        </w:rPr>
        <w:t>报告</w:t>
      </w:r>
    </w:p>
    <w:p>
      <w:pPr>
        <w:spacing w:line="500" w:lineRule="exact"/>
        <w:ind w:firstLine="763" w:firstLineChars="200"/>
        <w:jc w:val="center"/>
        <w:rPr>
          <w:rFonts w:hint="eastAsia" w:ascii="黑体" w:hAnsi="新宋体" w:eastAsia="黑体"/>
          <w:b/>
          <w:bCs/>
          <w:color w:val="auto"/>
          <w:spacing w:val="10"/>
          <w:sz w:val="36"/>
          <w:highlight w:val="none"/>
        </w:rPr>
      </w:pPr>
    </w:p>
    <w:p>
      <w:pPr>
        <w:spacing w:line="500" w:lineRule="exact"/>
        <w:ind w:firstLine="763" w:firstLineChars="200"/>
        <w:jc w:val="center"/>
        <w:rPr>
          <w:rFonts w:hint="eastAsia" w:ascii="黑体" w:hAnsi="新宋体" w:eastAsia="黑体"/>
          <w:b/>
          <w:bCs/>
          <w:color w:val="auto"/>
          <w:spacing w:val="10"/>
          <w:sz w:val="36"/>
          <w:highlight w:val="none"/>
        </w:rPr>
      </w:pPr>
    </w:p>
    <w:p>
      <w:pPr>
        <w:spacing w:line="500" w:lineRule="exact"/>
        <w:ind w:firstLine="763" w:firstLineChars="200"/>
        <w:jc w:val="center"/>
        <w:rPr>
          <w:rFonts w:hint="eastAsia" w:ascii="黑体" w:hAnsi="新宋体" w:eastAsia="黑体"/>
          <w:b/>
          <w:bCs/>
          <w:color w:val="auto"/>
          <w:spacing w:val="10"/>
          <w:sz w:val="36"/>
          <w:highlight w:val="none"/>
        </w:rPr>
      </w:pPr>
    </w:p>
    <w:p>
      <w:pPr>
        <w:spacing w:line="500" w:lineRule="exact"/>
        <w:ind w:firstLine="763" w:firstLineChars="200"/>
        <w:jc w:val="center"/>
        <w:rPr>
          <w:rFonts w:hint="eastAsia" w:ascii="黑体" w:hAnsi="新宋体" w:eastAsia="黑体"/>
          <w:b/>
          <w:bCs/>
          <w:color w:val="auto"/>
          <w:spacing w:val="10"/>
          <w:sz w:val="36"/>
          <w:highlight w:val="none"/>
        </w:rPr>
      </w:pPr>
    </w:p>
    <w:tbl>
      <w:tblPr>
        <w:tblStyle w:val="11"/>
        <w:tblW w:w="8904" w:type="dxa"/>
        <w:tblInd w:w="15" w:type="dxa"/>
        <w:tblLayout w:type="fixed"/>
        <w:tblCellMar>
          <w:top w:w="0" w:type="dxa"/>
          <w:left w:w="0" w:type="dxa"/>
          <w:bottom w:w="0" w:type="dxa"/>
          <w:right w:w="0" w:type="dxa"/>
        </w:tblCellMar>
      </w:tblPr>
      <w:tblGrid>
        <w:gridCol w:w="2233"/>
        <w:gridCol w:w="203"/>
        <w:gridCol w:w="6468"/>
      </w:tblGrid>
      <w:tr>
        <w:tblPrEx>
          <w:tblCellMar>
            <w:top w:w="0" w:type="dxa"/>
            <w:left w:w="0" w:type="dxa"/>
            <w:bottom w:w="0" w:type="dxa"/>
            <w:right w:w="0" w:type="dxa"/>
          </w:tblCellMar>
        </w:tblPrEx>
        <w:trPr>
          <w:trHeight w:val="662" w:hRule="atLeast"/>
        </w:trPr>
        <w:tc>
          <w:tcPr>
            <w:tcW w:w="2233" w:type="dxa"/>
            <w:tcBorders>
              <w:top w:val="nil"/>
              <w:left w:val="nil"/>
              <w:bottom w:val="nil"/>
              <w:right w:val="nil"/>
            </w:tcBorders>
            <w:noWrap w:val="0"/>
            <w:tcMar>
              <w:top w:w="15" w:type="dxa"/>
              <w:left w:w="15" w:type="dxa"/>
              <w:bottom w:w="0" w:type="dxa"/>
              <w:right w:w="15" w:type="dxa"/>
            </w:tcMar>
            <w:vAlign w:val="center"/>
          </w:tcPr>
          <w:p>
            <w:pPr>
              <w:ind w:left="173" w:hanging="173" w:hangingChars="50"/>
              <w:jc w:val="center"/>
              <w:rPr>
                <w:rFonts w:ascii="宋体" w:hAnsi="宋体"/>
                <w:b/>
                <w:bCs/>
                <w:color w:val="auto"/>
                <w:spacing w:val="32"/>
                <w:sz w:val="28"/>
                <w:highlight w:val="none"/>
              </w:rPr>
            </w:pPr>
            <w:r>
              <w:rPr>
                <w:rFonts w:hint="eastAsia" w:ascii="宋体" w:hAnsi="宋体"/>
                <w:b/>
                <w:bCs/>
                <w:color w:val="auto"/>
                <w:spacing w:val="32"/>
                <w:sz w:val="28"/>
                <w:highlight w:val="none"/>
              </w:rPr>
              <w:t>估价项目名称</w:t>
            </w:r>
          </w:p>
        </w:tc>
        <w:tc>
          <w:tcPr>
            <w:tcW w:w="203" w:type="dxa"/>
            <w:tcBorders>
              <w:top w:val="nil"/>
              <w:left w:val="nil"/>
              <w:bottom w:val="nil"/>
              <w:right w:val="nil"/>
            </w:tcBorders>
            <w:noWrap w:val="0"/>
            <w:tcMar>
              <w:top w:w="15" w:type="dxa"/>
              <w:left w:w="15" w:type="dxa"/>
              <w:bottom w:w="0" w:type="dxa"/>
              <w:right w:w="15" w:type="dxa"/>
            </w:tcMar>
            <w:vAlign w:val="center"/>
          </w:tcPr>
          <w:p>
            <w:pPr>
              <w:ind w:left="140" w:hanging="140" w:hangingChars="50"/>
              <w:jc w:val="center"/>
              <w:rPr>
                <w:rFonts w:ascii="宋体" w:hAnsi="宋体"/>
                <w:color w:val="auto"/>
                <w:sz w:val="28"/>
                <w:highlight w:val="none"/>
              </w:rPr>
            </w:pPr>
            <w:r>
              <w:rPr>
                <w:rFonts w:hint="eastAsia" w:ascii="宋体" w:hAnsi="宋体"/>
                <w:color w:val="auto"/>
                <w:sz w:val="28"/>
                <w:highlight w:val="none"/>
              </w:rPr>
              <w:t>：</w:t>
            </w:r>
          </w:p>
        </w:tc>
        <w:tc>
          <w:tcPr>
            <w:tcW w:w="6468" w:type="dxa"/>
            <w:tcBorders>
              <w:top w:val="nil"/>
              <w:left w:val="nil"/>
              <w:bottom w:val="nil"/>
              <w:right w:val="nil"/>
            </w:tcBorders>
            <w:noWrap w:val="0"/>
            <w:tcMar>
              <w:top w:w="15" w:type="dxa"/>
              <w:left w:w="15" w:type="dxa"/>
              <w:bottom w:w="0" w:type="dxa"/>
              <w:right w:w="15" w:type="dxa"/>
            </w:tcMar>
            <w:vAlign w:val="center"/>
          </w:tcPr>
          <w:p>
            <w:pPr>
              <w:spacing w:line="360" w:lineRule="auto"/>
              <w:rPr>
                <w:rFonts w:hint="eastAsia" w:ascii="宋体" w:hAnsi="宋体" w:eastAsia="宋体" w:cs="宋体"/>
                <w:color w:val="auto"/>
                <w:sz w:val="28"/>
                <w:highlight w:val="none"/>
                <w:lang w:eastAsia="zh-CN"/>
              </w:rPr>
            </w:pPr>
            <w:r>
              <w:rPr>
                <w:rFonts w:hint="eastAsia" w:ascii="宋体" w:hAnsi="宋体" w:cs="宋体"/>
                <w:color w:val="auto"/>
                <w:sz w:val="28"/>
                <w:szCs w:val="28"/>
                <w:highlight w:val="none"/>
                <w:lang w:val="en-US" w:eastAsia="zh-CN"/>
              </w:rPr>
              <w:t>竹山县城关镇东门街（东门市场）3间拟出租门面房</w:t>
            </w:r>
            <w:r>
              <w:rPr>
                <w:rFonts w:hint="eastAsia" w:ascii="宋体" w:hAnsi="宋体" w:cs="宋体"/>
                <w:sz w:val="28"/>
                <w:lang w:val="en-US" w:eastAsia="zh-CN"/>
              </w:rPr>
              <w:t>市场租赁价格评估</w:t>
            </w:r>
          </w:p>
        </w:tc>
      </w:tr>
      <w:tr>
        <w:tblPrEx>
          <w:tblCellMar>
            <w:top w:w="0" w:type="dxa"/>
            <w:left w:w="0" w:type="dxa"/>
            <w:bottom w:w="0" w:type="dxa"/>
            <w:right w:w="0" w:type="dxa"/>
          </w:tblCellMar>
        </w:tblPrEx>
        <w:trPr>
          <w:trHeight w:val="662" w:hRule="atLeast"/>
        </w:trPr>
        <w:tc>
          <w:tcPr>
            <w:tcW w:w="2233" w:type="dxa"/>
            <w:tcBorders>
              <w:top w:val="nil"/>
              <w:left w:val="nil"/>
              <w:bottom w:val="nil"/>
              <w:right w:val="nil"/>
            </w:tcBorders>
            <w:noWrap w:val="0"/>
            <w:tcMar>
              <w:top w:w="15" w:type="dxa"/>
              <w:left w:w="15" w:type="dxa"/>
              <w:bottom w:w="0" w:type="dxa"/>
              <w:right w:w="15" w:type="dxa"/>
            </w:tcMar>
            <w:vAlign w:val="top"/>
          </w:tcPr>
          <w:p>
            <w:pPr>
              <w:ind w:left="213" w:hanging="213" w:hangingChars="50"/>
              <w:jc w:val="center"/>
              <w:rPr>
                <w:rFonts w:ascii="宋体" w:hAnsi="宋体"/>
                <w:b/>
                <w:bCs/>
                <w:color w:val="auto"/>
                <w:spacing w:val="72"/>
                <w:sz w:val="28"/>
                <w:highlight w:val="none"/>
              </w:rPr>
            </w:pPr>
            <w:r>
              <w:rPr>
                <w:rFonts w:hint="eastAsia" w:ascii="宋体" w:hAnsi="宋体"/>
                <w:b/>
                <w:bCs/>
                <w:color w:val="auto"/>
                <w:spacing w:val="72"/>
                <w:sz w:val="28"/>
                <w:highlight w:val="none"/>
              </w:rPr>
              <w:t>估价委托人</w:t>
            </w:r>
          </w:p>
        </w:tc>
        <w:tc>
          <w:tcPr>
            <w:tcW w:w="203" w:type="dxa"/>
            <w:tcBorders>
              <w:top w:val="nil"/>
              <w:left w:val="nil"/>
              <w:bottom w:val="nil"/>
              <w:right w:val="nil"/>
            </w:tcBorders>
            <w:noWrap w:val="0"/>
            <w:tcMar>
              <w:top w:w="15" w:type="dxa"/>
              <w:left w:w="15" w:type="dxa"/>
              <w:bottom w:w="0" w:type="dxa"/>
              <w:right w:w="15" w:type="dxa"/>
            </w:tcMar>
            <w:vAlign w:val="top"/>
          </w:tcPr>
          <w:p>
            <w:pPr>
              <w:ind w:left="140" w:hanging="140" w:hangingChars="50"/>
              <w:rPr>
                <w:rFonts w:ascii="宋体" w:hAnsi="宋体"/>
                <w:color w:val="auto"/>
                <w:sz w:val="28"/>
                <w:highlight w:val="none"/>
              </w:rPr>
            </w:pPr>
            <w:r>
              <w:rPr>
                <w:rFonts w:hint="eastAsia" w:ascii="宋体" w:hAnsi="宋体"/>
                <w:color w:val="auto"/>
                <w:sz w:val="28"/>
                <w:highlight w:val="none"/>
              </w:rPr>
              <w:t>：</w:t>
            </w:r>
          </w:p>
        </w:tc>
        <w:tc>
          <w:tcPr>
            <w:tcW w:w="6468" w:type="dxa"/>
            <w:tcBorders>
              <w:top w:val="nil"/>
              <w:left w:val="nil"/>
              <w:bottom w:val="nil"/>
              <w:right w:val="nil"/>
            </w:tcBorders>
            <w:noWrap w:val="0"/>
            <w:tcMar>
              <w:top w:w="15" w:type="dxa"/>
              <w:left w:w="15" w:type="dxa"/>
              <w:bottom w:w="0" w:type="dxa"/>
              <w:right w:w="15" w:type="dxa"/>
            </w:tcMar>
            <w:vAlign w:val="center"/>
          </w:tcPr>
          <w:p>
            <w:pPr>
              <w:spacing w:line="360" w:lineRule="auto"/>
              <w:rPr>
                <w:rFonts w:hint="default" w:ascii="宋体" w:hAnsi="宋体" w:eastAsia="宋体" w:cs="宋体"/>
                <w:color w:val="auto"/>
                <w:sz w:val="28"/>
                <w:szCs w:val="28"/>
                <w:highlight w:val="none"/>
                <w:lang w:val="en-US" w:eastAsia="zh-CN"/>
              </w:rPr>
            </w:pPr>
            <w:r>
              <w:rPr>
                <w:rFonts w:hint="eastAsia" w:ascii="宋体" w:hAnsi="宋体" w:cs="宋体"/>
                <w:color w:val="auto"/>
                <w:sz w:val="28"/>
                <w:szCs w:val="28"/>
                <w:highlight w:val="none"/>
                <w:lang w:val="en-US" w:eastAsia="zh-CN"/>
              </w:rPr>
              <w:t>竹山县兴竹国有资产管理有限公司</w:t>
            </w:r>
          </w:p>
        </w:tc>
      </w:tr>
      <w:tr>
        <w:tblPrEx>
          <w:tblCellMar>
            <w:top w:w="0" w:type="dxa"/>
            <w:left w:w="0" w:type="dxa"/>
            <w:bottom w:w="0" w:type="dxa"/>
            <w:right w:w="0" w:type="dxa"/>
          </w:tblCellMar>
        </w:tblPrEx>
        <w:trPr>
          <w:trHeight w:val="655" w:hRule="atLeast"/>
        </w:trPr>
        <w:tc>
          <w:tcPr>
            <w:tcW w:w="2233" w:type="dxa"/>
            <w:tcBorders>
              <w:top w:val="nil"/>
              <w:left w:val="nil"/>
              <w:bottom w:val="nil"/>
              <w:right w:val="nil"/>
            </w:tcBorders>
            <w:noWrap w:val="0"/>
            <w:tcMar>
              <w:top w:w="15" w:type="dxa"/>
              <w:left w:w="15" w:type="dxa"/>
              <w:bottom w:w="0" w:type="dxa"/>
              <w:right w:w="15" w:type="dxa"/>
            </w:tcMar>
            <w:vAlign w:val="top"/>
          </w:tcPr>
          <w:p>
            <w:pPr>
              <w:ind w:left="147" w:hanging="147" w:hangingChars="50"/>
              <w:jc w:val="center"/>
              <w:rPr>
                <w:rFonts w:ascii="宋体" w:hAnsi="宋体"/>
                <w:b/>
                <w:bCs/>
                <w:color w:val="auto"/>
                <w:spacing w:val="6"/>
                <w:sz w:val="28"/>
                <w:highlight w:val="none"/>
              </w:rPr>
            </w:pPr>
            <w:r>
              <w:rPr>
                <w:rFonts w:hint="eastAsia" w:ascii="宋体" w:hAnsi="宋体"/>
                <w:b/>
                <w:bCs/>
                <w:color w:val="auto"/>
                <w:spacing w:val="6"/>
                <w:sz w:val="28"/>
                <w:highlight w:val="none"/>
              </w:rPr>
              <w:t>房地产估价机构</w:t>
            </w:r>
          </w:p>
        </w:tc>
        <w:tc>
          <w:tcPr>
            <w:tcW w:w="203" w:type="dxa"/>
            <w:tcBorders>
              <w:top w:val="nil"/>
              <w:left w:val="nil"/>
              <w:bottom w:val="nil"/>
              <w:right w:val="nil"/>
            </w:tcBorders>
            <w:noWrap w:val="0"/>
            <w:tcMar>
              <w:top w:w="15" w:type="dxa"/>
              <w:left w:w="15" w:type="dxa"/>
              <w:bottom w:w="0" w:type="dxa"/>
              <w:right w:w="15" w:type="dxa"/>
            </w:tcMar>
            <w:vAlign w:val="top"/>
          </w:tcPr>
          <w:p>
            <w:pPr>
              <w:ind w:left="140" w:hanging="140" w:hangingChars="50"/>
              <w:rPr>
                <w:rFonts w:ascii="宋体" w:hAnsi="宋体"/>
                <w:color w:val="auto"/>
                <w:sz w:val="28"/>
                <w:highlight w:val="none"/>
              </w:rPr>
            </w:pPr>
            <w:r>
              <w:rPr>
                <w:rFonts w:hint="eastAsia" w:ascii="宋体" w:hAnsi="宋体"/>
                <w:color w:val="auto"/>
                <w:sz w:val="28"/>
                <w:highlight w:val="none"/>
              </w:rPr>
              <w:t>：</w:t>
            </w:r>
          </w:p>
        </w:tc>
        <w:tc>
          <w:tcPr>
            <w:tcW w:w="6468" w:type="dxa"/>
            <w:tcBorders>
              <w:top w:val="nil"/>
              <w:left w:val="nil"/>
              <w:bottom w:val="nil"/>
              <w:right w:val="nil"/>
            </w:tcBorders>
            <w:noWrap w:val="0"/>
            <w:tcMar>
              <w:top w:w="15" w:type="dxa"/>
              <w:left w:w="15" w:type="dxa"/>
              <w:bottom w:w="0" w:type="dxa"/>
              <w:right w:w="15" w:type="dxa"/>
            </w:tcMar>
            <w:vAlign w:val="top"/>
          </w:tcPr>
          <w:p>
            <w:pPr>
              <w:spacing w:line="360" w:lineRule="auto"/>
              <w:rPr>
                <w:rFonts w:hint="eastAsia" w:ascii="宋体" w:hAnsi="宋体" w:eastAsia="宋体" w:cs="宋体"/>
                <w:color w:val="auto"/>
                <w:sz w:val="28"/>
                <w:szCs w:val="28"/>
                <w:highlight w:val="none"/>
                <w:lang w:val="en-US" w:eastAsia="zh-CN"/>
              </w:rPr>
            </w:pPr>
            <w:r>
              <w:rPr>
                <w:rFonts w:hint="eastAsia" w:ascii="宋体" w:hAnsi="宋体" w:cs="宋体"/>
                <w:color w:val="auto"/>
                <w:sz w:val="28"/>
                <w:szCs w:val="28"/>
                <w:highlight w:val="none"/>
                <w:lang w:val="en-US" w:eastAsia="zh-CN"/>
              </w:rPr>
              <w:t>湖北德高房地产资产评估有限公司</w:t>
            </w:r>
          </w:p>
        </w:tc>
      </w:tr>
      <w:tr>
        <w:tblPrEx>
          <w:tblCellMar>
            <w:top w:w="0" w:type="dxa"/>
            <w:left w:w="0" w:type="dxa"/>
            <w:bottom w:w="0" w:type="dxa"/>
            <w:right w:w="0" w:type="dxa"/>
          </w:tblCellMar>
        </w:tblPrEx>
        <w:trPr>
          <w:trHeight w:val="686" w:hRule="atLeast"/>
        </w:trPr>
        <w:tc>
          <w:tcPr>
            <w:tcW w:w="2233" w:type="dxa"/>
            <w:tcBorders>
              <w:top w:val="nil"/>
              <w:left w:val="nil"/>
              <w:bottom w:val="nil"/>
              <w:right w:val="nil"/>
            </w:tcBorders>
            <w:noWrap w:val="0"/>
            <w:tcMar>
              <w:top w:w="15" w:type="dxa"/>
              <w:left w:w="15" w:type="dxa"/>
              <w:bottom w:w="0" w:type="dxa"/>
              <w:right w:w="15" w:type="dxa"/>
            </w:tcMar>
            <w:vAlign w:val="top"/>
          </w:tcPr>
          <w:p>
            <w:pPr>
              <w:ind w:left="181" w:hanging="181" w:hangingChars="50"/>
              <w:jc w:val="center"/>
              <w:rPr>
                <w:rFonts w:hint="eastAsia" w:ascii="宋体" w:hAnsi="宋体"/>
                <w:b/>
                <w:bCs/>
                <w:color w:val="auto"/>
                <w:spacing w:val="40"/>
                <w:sz w:val="28"/>
                <w:highlight w:val="none"/>
              </w:rPr>
            </w:pPr>
            <w:r>
              <w:rPr>
                <w:rFonts w:hint="eastAsia" w:ascii="宋体" w:hAnsi="宋体"/>
                <w:b/>
                <w:bCs/>
                <w:color w:val="auto"/>
                <w:spacing w:val="40"/>
                <w:sz w:val="28"/>
                <w:highlight w:val="none"/>
              </w:rPr>
              <w:t>估 价 人 员</w:t>
            </w:r>
          </w:p>
        </w:tc>
        <w:tc>
          <w:tcPr>
            <w:tcW w:w="203" w:type="dxa"/>
            <w:tcBorders>
              <w:top w:val="nil"/>
              <w:left w:val="nil"/>
              <w:bottom w:val="nil"/>
              <w:right w:val="nil"/>
            </w:tcBorders>
            <w:noWrap w:val="0"/>
            <w:tcMar>
              <w:top w:w="15" w:type="dxa"/>
              <w:left w:w="15" w:type="dxa"/>
              <w:bottom w:w="0" w:type="dxa"/>
              <w:right w:w="15" w:type="dxa"/>
            </w:tcMar>
            <w:vAlign w:val="top"/>
          </w:tcPr>
          <w:p>
            <w:pPr>
              <w:ind w:left="140" w:hanging="140" w:hangingChars="50"/>
              <w:rPr>
                <w:rFonts w:hint="eastAsia" w:ascii="宋体" w:hAnsi="宋体"/>
                <w:color w:val="auto"/>
                <w:sz w:val="28"/>
                <w:highlight w:val="none"/>
              </w:rPr>
            </w:pPr>
            <w:r>
              <w:rPr>
                <w:rFonts w:hint="eastAsia" w:ascii="宋体" w:hAnsi="宋体"/>
                <w:color w:val="auto"/>
                <w:sz w:val="28"/>
                <w:highlight w:val="none"/>
              </w:rPr>
              <w:t>：</w:t>
            </w:r>
          </w:p>
        </w:tc>
        <w:tc>
          <w:tcPr>
            <w:tcW w:w="6468" w:type="dxa"/>
            <w:tcBorders>
              <w:top w:val="nil"/>
              <w:left w:val="nil"/>
              <w:bottom w:val="nil"/>
              <w:right w:val="nil"/>
            </w:tcBorders>
            <w:noWrap w:val="0"/>
            <w:tcMar>
              <w:top w:w="15" w:type="dxa"/>
              <w:left w:w="15" w:type="dxa"/>
              <w:bottom w:w="0" w:type="dxa"/>
              <w:right w:w="15" w:type="dxa"/>
            </w:tcMar>
            <w:vAlign w:val="top"/>
          </w:tcPr>
          <w:p>
            <w:pPr>
              <w:spacing w:line="360" w:lineRule="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 xml:space="preserve">邵毅飞（4220050028）李宏（4220000074） </w:t>
            </w:r>
          </w:p>
        </w:tc>
      </w:tr>
      <w:tr>
        <w:tblPrEx>
          <w:tblCellMar>
            <w:top w:w="0" w:type="dxa"/>
            <w:left w:w="0" w:type="dxa"/>
            <w:bottom w:w="0" w:type="dxa"/>
            <w:right w:w="0" w:type="dxa"/>
          </w:tblCellMar>
        </w:tblPrEx>
        <w:trPr>
          <w:trHeight w:val="662" w:hRule="atLeast"/>
        </w:trPr>
        <w:tc>
          <w:tcPr>
            <w:tcW w:w="2233" w:type="dxa"/>
            <w:tcBorders>
              <w:top w:val="nil"/>
              <w:left w:val="nil"/>
              <w:bottom w:val="nil"/>
              <w:right w:val="nil"/>
            </w:tcBorders>
            <w:noWrap w:val="0"/>
            <w:tcMar>
              <w:top w:w="15" w:type="dxa"/>
              <w:left w:w="15" w:type="dxa"/>
              <w:bottom w:w="0" w:type="dxa"/>
              <w:right w:w="15" w:type="dxa"/>
            </w:tcMar>
            <w:vAlign w:val="top"/>
          </w:tcPr>
          <w:p>
            <w:pPr>
              <w:ind w:left="127" w:hanging="127" w:hangingChars="50"/>
              <w:rPr>
                <w:rFonts w:ascii="宋体" w:hAnsi="宋体"/>
                <w:b/>
                <w:bCs/>
                <w:color w:val="auto"/>
                <w:spacing w:val="-14"/>
                <w:sz w:val="28"/>
                <w:highlight w:val="none"/>
              </w:rPr>
            </w:pPr>
            <w:r>
              <w:rPr>
                <w:rFonts w:hint="eastAsia" w:ascii="宋体" w:hAnsi="宋体"/>
                <w:b/>
                <w:bCs/>
                <w:color w:val="auto"/>
                <w:spacing w:val="-14"/>
                <w:sz w:val="28"/>
                <w:highlight w:val="none"/>
              </w:rPr>
              <w:t>估价报告出具日期</w:t>
            </w:r>
          </w:p>
        </w:tc>
        <w:tc>
          <w:tcPr>
            <w:tcW w:w="203" w:type="dxa"/>
            <w:tcBorders>
              <w:top w:val="nil"/>
              <w:left w:val="nil"/>
              <w:bottom w:val="nil"/>
              <w:right w:val="nil"/>
            </w:tcBorders>
            <w:noWrap w:val="0"/>
            <w:tcMar>
              <w:top w:w="15" w:type="dxa"/>
              <w:left w:w="15" w:type="dxa"/>
              <w:bottom w:w="0" w:type="dxa"/>
              <w:right w:w="15" w:type="dxa"/>
            </w:tcMar>
            <w:vAlign w:val="top"/>
          </w:tcPr>
          <w:p>
            <w:pPr>
              <w:ind w:left="140" w:hanging="140" w:hangingChars="50"/>
              <w:rPr>
                <w:rFonts w:ascii="宋体" w:hAnsi="宋体"/>
                <w:color w:val="auto"/>
                <w:sz w:val="28"/>
                <w:highlight w:val="none"/>
              </w:rPr>
            </w:pPr>
            <w:r>
              <w:rPr>
                <w:rFonts w:hint="eastAsia" w:ascii="宋体" w:hAnsi="宋体"/>
                <w:color w:val="auto"/>
                <w:sz w:val="28"/>
                <w:highlight w:val="none"/>
              </w:rPr>
              <w:t>：</w:t>
            </w:r>
          </w:p>
        </w:tc>
        <w:tc>
          <w:tcPr>
            <w:tcW w:w="6468" w:type="dxa"/>
            <w:tcBorders>
              <w:top w:val="nil"/>
              <w:left w:val="nil"/>
              <w:bottom w:val="nil"/>
              <w:right w:val="nil"/>
            </w:tcBorders>
            <w:noWrap w:val="0"/>
            <w:tcMar>
              <w:top w:w="15" w:type="dxa"/>
              <w:left w:w="15" w:type="dxa"/>
              <w:bottom w:w="0" w:type="dxa"/>
              <w:right w:w="15" w:type="dxa"/>
            </w:tcMar>
            <w:vAlign w:val="top"/>
          </w:tcPr>
          <w:p>
            <w:pPr>
              <w:spacing w:line="360" w:lineRule="auto"/>
              <w:rPr>
                <w:rFonts w:hint="eastAsia" w:ascii="宋体" w:hAnsi="宋体" w:eastAsia="宋体" w:cs="宋体"/>
                <w:color w:val="auto"/>
                <w:sz w:val="28"/>
                <w:szCs w:val="28"/>
                <w:highlight w:val="none"/>
                <w:lang w:val="en-US" w:eastAsia="zh-CN"/>
              </w:rPr>
            </w:pPr>
            <w:r>
              <w:rPr>
                <w:rFonts w:hint="eastAsia" w:ascii="宋体" w:hAnsi="宋体" w:cs="宋体"/>
                <w:color w:val="auto"/>
                <w:sz w:val="28"/>
                <w:szCs w:val="28"/>
                <w:highlight w:val="none"/>
                <w:lang w:val="en-US" w:eastAsia="zh-CN"/>
              </w:rPr>
              <w:t>二○二四年四月二十六日</w:t>
            </w:r>
          </w:p>
        </w:tc>
      </w:tr>
      <w:tr>
        <w:tblPrEx>
          <w:tblCellMar>
            <w:top w:w="0" w:type="dxa"/>
            <w:left w:w="0" w:type="dxa"/>
            <w:bottom w:w="0" w:type="dxa"/>
            <w:right w:w="0" w:type="dxa"/>
          </w:tblCellMar>
        </w:tblPrEx>
        <w:trPr>
          <w:trHeight w:val="662" w:hRule="atLeast"/>
        </w:trPr>
        <w:tc>
          <w:tcPr>
            <w:tcW w:w="2233" w:type="dxa"/>
            <w:tcBorders>
              <w:top w:val="nil"/>
              <w:left w:val="nil"/>
              <w:bottom w:val="nil"/>
              <w:right w:val="nil"/>
            </w:tcBorders>
            <w:noWrap w:val="0"/>
            <w:tcMar>
              <w:top w:w="15" w:type="dxa"/>
              <w:left w:w="15" w:type="dxa"/>
              <w:bottom w:w="0" w:type="dxa"/>
              <w:right w:w="15" w:type="dxa"/>
            </w:tcMar>
            <w:vAlign w:val="top"/>
          </w:tcPr>
          <w:p>
            <w:pPr>
              <w:ind w:left="181" w:hanging="181" w:hangingChars="50"/>
              <w:jc w:val="center"/>
              <w:rPr>
                <w:rFonts w:ascii="宋体" w:hAnsi="宋体"/>
                <w:b/>
                <w:bCs/>
                <w:color w:val="auto"/>
                <w:spacing w:val="40"/>
                <w:sz w:val="28"/>
                <w:highlight w:val="none"/>
              </w:rPr>
            </w:pPr>
            <w:r>
              <w:rPr>
                <w:rFonts w:hint="eastAsia" w:ascii="宋体" w:hAnsi="宋体"/>
                <w:b/>
                <w:bCs/>
                <w:color w:val="auto"/>
                <w:spacing w:val="40"/>
                <w:sz w:val="28"/>
                <w:highlight w:val="none"/>
              </w:rPr>
              <w:t>估价报告编号</w:t>
            </w:r>
          </w:p>
        </w:tc>
        <w:tc>
          <w:tcPr>
            <w:tcW w:w="203" w:type="dxa"/>
            <w:tcBorders>
              <w:top w:val="nil"/>
              <w:left w:val="nil"/>
              <w:bottom w:val="nil"/>
              <w:right w:val="nil"/>
            </w:tcBorders>
            <w:noWrap w:val="0"/>
            <w:tcMar>
              <w:top w:w="15" w:type="dxa"/>
              <w:left w:w="15" w:type="dxa"/>
              <w:bottom w:w="0" w:type="dxa"/>
              <w:right w:w="15" w:type="dxa"/>
            </w:tcMar>
            <w:vAlign w:val="top"/>
          </w:tcPr>
          <w:p>
            <w:pPr>
              <w:ind w:left="140" w:hanging="140" w:hangingChars="50"/>
              <w:rPr>
                <w:rFonts w:ascii="宋体" w:hAnsi="宋体"/>
                <w:color w:val="auto"/>
                <w:sz w:val="28"/>
                <w:highlight w:val="none"/>
              </w:rPr>
            </w:pPr>
            <w:r>
              <w:rPr>
                <w:rFonts w:hint="eastAsia" w:ascii="宋体" w:hAnsi="宋体"/>
                <w:color w:val="auto"/>
                <w:sz w:val="28"/>
                <w:highlight w:val="none"/>
              </w:rPr>
              <w:t>：</w:t>
            </w:r>
          </w:p>
        </w:tc>
        <w:tc>
          <w:tcPr>
            <w:tcW w:w="6468" w:type="dxa"/>
            <w:tcBorders>
              <w:top w:val="nil"/>
              <w:left w:val="nil"/>
              <w:bottom w:val="nil"/>
              <w:right w:val="nil"/>
            </w:tcBorders>
            <w:noWrap w:val="0"/>
            <w:tcMar>
              <w:top w:w="15" w:type="dxa"/>
              <w:left w:w="15" w:type="dxa"/>
              <w:bottom w:w="0" w:type="dxa"/>
              <w:right w:w="15" w:type="dxa"/>
            </w:tcMar>
            <w:vAlign w:val="top"/>
          </w:tcPr>
          <w:p>
            <w:pPr>
              <w:spacing w:line="360" w:lineRule="auto"/>
              <w:rPr>
                <w:rFonts w:hint="default" w:ascii="宋体" w:hAnsi="宋体" w:eastAsia="宋体" w:cs="宋体"/>
                <w:color w:val="auto"/>
                <w:sz w:val="28"/>
                <w:szCs w:val="28"/>
                <w:highlight w:val="none"/>
                <w:lang w:val="en-US" w:eastAsia="zh-CN"/>
              </w:rPr>
            </w:pPr>
            <w:r>
              <w:rPr>
                <w:rFonts w:hint="eastAsia" w:ascii="宋体" w:hAnsi="宋体" w:cs="宋体"/>
                <w:color w:val="auto"/>
                <w:sz w:val="28"/>
                <w:szCs w:val="28"/>
                <w:highlight w:val="none"/>
                <w:lang w:val="en-US" w:eastAsia="zh-CN"/>
              </w:rPr>
              <w:t>德高评咨字（2024）007号</w:t>
            </w:r>
          </w:p>
        </w:tc>
      </w:tr>
    </w:tbl>
    <w:p>
      <w:pPr>
        <w:spacing w:line="600" w:lineRule="exact"/>
        <w:jc w:val="center"/>
        <w:rPr>
          <w:rFonts w:hint="eastAsia" w:ascii="幼圆" w:eastAsia="幼圆"/>
          <w:b/>
          <w:bCs/>
          <w:color w:val="auto"/>
          <w:spacing w:val="8"/>
          <w:sz w:val="32"/>
          <w:highlight w:val="none"/>
        </w:rPr>
      </w:pPr>
    </w:p>
    <w:p>
      <w:pPr>
        <w:spacing w:line="600" w:lineRule="exact"/>
        <w:jc w:val="center"/>
        <w:rPr>
          <w:rFonts w:hint="eastAsia" w:ascii="幼圆" w:eastAsia="幼圆"/>
          <w:b/>
          <w:bCs/>
          <w:color w:val="auto"/>
          <w:spacing w:val="8"/>
          <w:sz w:val="32"/>
          <w:highlight w:val="none"/>
        </w:rPr>
      </w:pPr>
    </w:p>
    <w:p>
      <w:pPr>
        <w:spacing w:line="600" w:lineRule="exact"/>
        <w:jc w:val="center"/>
        <w:rPr>
          <w:rFonts w:hint="eastAsia" w:ascii="幼圆" w:eastAsia="幼圆"/>
          <w:b/>
          <w:bCs/>
          <w:color w:val="auto"/>
          <w:spacing w:val="8"/>
          <w:sz w:val="32"/>
          <w:highlight w:val="none"/>
        </w:rPr>
      </w:pPr>
    </w:p>
    <w:p>
      <w:pPr>
        <w:spacing w:line="600" w:lineRule="exact"/>
        <w:jc w:val="center"/>
        <w:rPr>
          <w:rFonts w:hint="eastAsia" w:ascii="幼圆" w:eastAsia="幼圆"/>
          <w:b/>
          <w:bCs/>
          <w:color w:val="auto"/>
          <w:spacing w:val="8"/>
          <w:sz w:val="32"/>
          <w:highlight w:val="none"/>
        </w:rPr>
      </w:pPr>
    </w:p>
    <w:p>
      <w:pPr>
        <w:spacing w:line="600" w:lineRule="exact"/>
        <w:jc w:val="center"/>
        <w:rPr>
          <w:rFonts w:hint="eastAsia" w:ascii="幼圆" w:eastAsia="幼圆"/>
          <w:b/>
          <w:bCs/>
          <w:color w:val="auto"/>
          <w:spacing w:val="8"/>
          <w:sz w:val="32"/>
          <w:highlight w:val="none"/>
        </w:rPr>
      </w:pPr>
    </w:p>
    <w:p>
      <w:pPr>
        <w:spacing w:line="600" w:lineRule="exact"/>
        <w:jc w:val="center"/>
        <w:rPr>
          <w:rFonts w:hint="eastAsia" w:ascii="幼圆" w:eastAsia="幼圆"/>
          <w:b/>
          <w:bCs/>
          <w:color w:val="auto"/>
          <w:spacing w:val="8"/>
          <w:sz w:val="32"/>
          <w:highlight w:val="none"/>
        </w:rPr>
      </w:pPr>
    </w:p>
    <w:p>
      <w:pPr>
        <w:keepNext w:val="0"/>
        <w:spacing w:line="600" w:lineRule="exact"/>
        <w:jc w:val="center"/>
        <w:rPr>
          <w:rFonts w:hint="eastAsia" w:ascii="新宋体" w:eastAsia="新宋体"/>
          <w:b/>
          <w:bCs/>
          <w:spacing w:val="0"/>
          <w:kern w:val="0"/>
          <w:sz w:val="36"/>
          <w:szCs w:val="24"/>
        </w:rPr>
      </w:pPr>
      <w:r>
        <w:rPr>
          <w:rFonts w:hint="eastAsia" w:ascii="新宋体" w:eastAsia="新宋体"/>
          <w:b/>
          <w:bCs/>
          <w:spacing w:val="0"/>
          <w:kern w:val="0"/>
          <w:sz w:val="36"/>
          <w:szCs w:val="24"/>
        </w:rPr>
        <w:t xml:space="preserve">湖 北 德 高 房 地 产 资 产 评 估 有 限 公 司 </w:t>
      </w:r>
    </w:p>
    <w:p>
      <w:pPr>
        <w:keepNext w:val="0"/>
        <w:tabs>
          <w:tab w:val="left" w:pos="5925"/>
        </w:tabs>
        <w:spacing w:line="600" w:lineRule="exact"/>
        <w:jc w:val="center"/>
        <w:rPr>
          <w:rFonts w:hint="eastAsia"/>
          <w:b/>
          <w:bCs/>
          <w:spacing w:val="0"/>
          <w:kern w:val="0"/>
          <w:sz w:val="32"/>
          <w:szCs w:val="24"/>
        </w:rPr>
      </w:pPr>
      <w:r>
        <w:rPr>
          <w:rFonts w:hint="eastAsia"/>
          <w:b/>
          <w:bCs/>
          <w:spacing w:val="0"/>
          <w:kern w:val="0"/>
          <w:sz w:val="32"/>
          <w:szCs w:val="24"/>
        </w:rPr>
        <w:t xml:space="preserve">Hubei DeGao Real Estate </w:t>
      </w:r>
      <w:r>
        <w:rPr>
          <w:b/>
          <w:bCs/>
          <w:spacing w:val="0"/>
          <w:kern w:val="0"/>
          <w:sz w:val="32"/>
          <w:szCs w:val="24"/>
        </w:rPr>
        <w:t>A</w:t>
      </w:r>
      <w:r>
        <w:rPr>
          <w:rFonts w:hint="eastAsia"/>
          <w:b/>
          <w:bCs/>
          <w:spacing w:val="0"/>
          <w:kern w:val="0"/>
          <w:sz w:val="32"/>
          <w:szCs w:val="24"/>
        </w:rPr>
        <w:t>ssets Appraisal</w:t>
      </w:r>
      <w:r>
        <w:rPr>
          <w:b/>
          <w:bCs/>
          <w:spacing w:val="0"/>
          <w:kern w:val="0"/>
          <w:sz w:val="32"/>
          <w:szCs w:val="24"/>
        </w:rPr>
        <w:t xml:space="preserve"> Co., Lt</w:t>
      </w:r>
      <w:r>
        <w:rPr>
          <w:rFonts w:hint="eastAsia"/>
          <w:b/>
          <w:bCs/>
          <w:spacing w:val="0"/>
          <w:kern w:val="0"/>
          <w:sz w:val="32"/>
          <w:szCs w:val="24"/>
        </w:rPr>
        <w:t>d.</w:t>
      </w:r>
    </w:p>
    <w:p>
      <w:pPr>
        <w:spacing w:line="480" w:lineRule="exact"/>
        <w:jc w:val="center"/>
        <w:rPr>
          <w:rFonts w:hint="eastAsia" w:ascii="宋体" w:hAnsi="宋体"/>
          <w:b/>
          <w:color w:val="auto"/>
          <w:sz w:val="32"/>
          <w:szCs w:val="32"/>
          <w:highlight w:val="none"/>
        </w:rPr>
      </w:pPr>
    </w:p>
    <w:p>
      <w:pPr>
        <w:spacing w:line="480" w:lineRule="exact"/>
        <w:jc w:val="center"/>
        <w:rPr>
          <w:rFonts w:hint="eastAsia" w:ascii="仿宋_GB2312" w:hAnsi="仿宋" w:eastAsia="仿宋_GB2312"/>
          <w:color w:val="auto"/>
          <w:sz w:val="28"/>
          <w:szCs w:val="28"/>
          <w:highlight w:val="none"/>
          <w:lang w:val="en-US" w:eastAsia="zh-CN"/>
        </w:rPr>
      </w:pPr>
      <w:r>
        <w:rPr>
          <w:rFonts w:hint="eastAsia" w:ascii="宋体" w:hAnsi="宋体"/>
          <w:b/>
          <w:color w:val="auto"/>
          <w:sz w:val="32"/>
          <w:szCs w:val="32"/>
          <w:highlight w:val="none"/>
        </w:rPr>
        <w:t>致估价委托人函</w:t>
      </w:r>
    </w:p>
    <w:p>
      <w:pPr>
        <w:keepNext w:val="0"/>
        <w:keepLines w:val="0"/>
        <w:pageBreakBefore w:val="0"/>
        <w:widowControl w:val="0"/>
        <w:tabs>
          <w:tab w:val="left" w:pos="1140"/>
        </w:tabs>
        <w:kinsoku/>
        <w:wordWrap/>
        <w:overflowPunct/>
        <w:topLinePunct w:val="0"/>
        <w:autoSpaceDE/>
        <w:autoSpaceDN/>
        <w:bidi w:val="0"/>
        <w:adjustRightInd/>
        <w:snapToGrid/>
        <w:spacing w:line="360" w:lineRule="auto"/>
        <w:textAlignment w:val="auto"/>
        <w:rPr>
          <w:rFonts w:hint="eastAsia" w:ascii="仿宋_GB2312" w:hAnsi="仿宋" w:eastAsia="仿宋_GB2312"/>
          <w:color w:val="auto"/>
          <w:sz w:val="28"/>
          <w:szCs w:val="28"/>
          <w:highlight w:val="none"/>
          <w:lang w:eastAsia="zh-CN"/>
        </w:rPr>
      </w:pPr>
      <w:r>
        <w:rPr>
          <w:rFonts w:hint="eastAsia" w:ascii="仿宋_GB2312" w:hAnsi="仿宋" w:eastAsia="仿宋_GB2312"/>
          <w:color w:val="auto"/>
          <w:sz w:val="28"/>
          <w:szCs w:val="28"/>
          <w:highlight w:val="none"/>
          <w:lang w:val="en-US" w:eastAsia="zh-CN"/>
        </w:rPr>
        <w:t>竹山县兴竹国有资产管理有限公司</w:t>
      </w:r>
      <w:r>
        <w:rPr>
          <w:rFonts w:hint="eastAsia" w:ascii="仿宋_GB2312" w:hAnsi="仿宋" w:eastAsia="仿宋_GB2312"/>
          <w:color w:val="auto"/>
          <w:sz w:val="28"/>
          <w:szCs w:val="28"/>
          <w:highlight w:val="none"/>
          <w:lang w:eastAsia="zh-CN"/>
        </w:rPr>
        <w:t>：</w:t>
      </w:r>
    </w:p>
    <w:p>
      <w:pPr>
        <w:keepNext w:val="0"/>
        <w:keepLines w:val="0"/>
        <w:pageBreakBefore w:val="0"/>
        <w:widowControl w:val="0"/>
        <w:tabs>
          <w:tab w:val="left" w:pos="1140"/>
        </w:tabs>
        <w:kinsoku/>
        <w:wordWrap/>
        <w:overflowPunct/>
        <w:topLinePunct w:val="0"/>
        <w:autoSpaceDE/>
        <w:autoSpaceDN/>
        <w:bidi w:val="0"/>
        <w:adjustRightInd/>
        <w:snapToGrid/>
        <w:spacing w:line="360" w:lineRule="auto"/>
        <w:ind w:firstLine="560" w:firstLineChars="200"/>
        <w:textAlignment w:val="auto"/>
        <w:rPr>
          <w:rFonts w:hint="eastAsia" w:ascii="仿宋_GB2312" w:hAnsi="仿宋" w:eastAsia="仿宋_GB2312"/>
          <w:color w:val="auto"/>
          <w:sz w:val="28"/>
          <w:szCs w:val="28"/>
          <w:highlight w:val="none"/>
          <w:lang w:val="en-US" w:eastAsia="zh-CN"/>
        </w:rPr>
      </w:pPr>
      <w:r>
        <w:rPr>
          <w:rFonts w:hint="eastAsia" w:ascii="仿宋_GB2312" w:hAnsi="仿宋" w:eastAsia="仿宋_GB2312"/>
          <w:color w:val="auto"/>
          <w:sz w:val="28"/>
          <w:szCs w:val="28"/>
          <w:highlight w:val="none"/>
        </w:rPr>
        <w:t>承</w:t>
      </w:r>
      <w:r>
        <w:rPr>
          <w:rFonts w:hint="eastAsia" w:ascii="仿宋_GB2312" w:hAnsi="仿宋" w:eastAsia="仿宋_GB2312"/>
          <w:color w:val="auto"/>
          <w:sz w:val="28"/>
          <w:szCs w:val="28"/>
          <w:highlight w:val="none"/>
          <w:lang w:val="en-US" w:eastAsia="zh-CN"/>
        </w:rPr>
        <w:t>蒙委托，为</w:t>
      </w:r>
      <w:r>
        <w:rPr>
          <w:rFonts w:hint="eastAsia" w:ascii="仿宋_GB2312" w:hAnsi="新宋体" w:eastAsia="仿宋_GB2312"/>
          <w:bCs/>
          <w:sz w:val="28"/>
        </w:rPr>
        <w:t>委托方</w:t>
      </w:r>
      <w:r>
        <w:rPr>
          <w:rFonts w:hint="eastAsia" w:ascii="仿宋_GB2312" w:hAnsi="新宋体" w:eastAsia="仿宋_GB2312"/>
          <w:bCs/>
          <w:sz w:val="28"/>
          <w:lang w:val="en-US" w:eastAsia="zh-CN"/>
        </w:rPr>
        <w:t>拟出租房地产确定市场租赁价格</w:t>
      </w:r>
      <w:r>
        <w:rPr>
          <w:rFonts w:hint="eastAsia" w:ascii="仿宋_GB2312" w:hAnsi="新宋体" w:eastAsia="仿宋_GB2312"/>
          <w:bCs/>
          <w:sz w:val="28"/>
        </w:rPr>
        <w:t>提供参考</w:t>
      </w:r>
      <w:r>
        <w:rPr>
          <w:rFonts w:hint="eastAsia" w:ascii="仿宋_GB2312" w:hAnsi="新宋体" w:eastAsia="仿宋_GB2312"/>
          <w:bCs/>
          <w:sz w:val="28"/>
          <w:lang w:val="en-US" w:eastAsia="zh-CN"/>
        </w:rPr>
        <w:t>依据。</w:t>
      </w:r>
      <w:r>
        <w:rPr>
          <w:rFonts w:hint="eastAsia" w:ascii="仿宋_GB2312" w:hAnsi="仿宋" w:eastAsia="仿宋_GB2312"/>
          <w:color w:val="auto"/>
          <w:sz w:val="28"/>
          <w:szCs w:val="28"/>
          <w:highlight w:val="none"/>
          <w:lang w:val="en-US" w:eastAsia="zh-CN"/>
        </w:rPr>
        <w:t>本公司根据中华人民共和国国家标准《房地产估价规范》（GB/T50291-2015），遵循客观、公正、科学、独立的原则，于2024年4月25日</w:t>
      </w:r>
      <w:r>
        <w:rPr>
          <w:rFonts w:hint="eastAsia" w:ascii="仿宋_GB2312" w:hAnsi="仿宋" w:eastAsia="仿宋_GB2312"/>
          <w:color w:val="auto"/>
          <w:sz w:val="28"/>
          <w:szCs w:val="28"/>
          <w:highlight w:val="none"/>
        </w:rPr>
        <w:t>对位于</w:t>
      </w:r>
      <w:r>
        <w:rPr>
          <w:rFonts w:hint="eastAsia" w:ascii="仿宋_GB2312" w:hAnsi="仿宋" w:eastAsia="仿宋_GB2312"/>
          <w:color w:val="auto"/>
          <w:sz w:val="28"/>
          <w:szCs w:val="28"/>
          <w:highlight w:val="none"/>
          <w:lang w:eastAsia="zh-CN"/>
        </w:rPr>
        <w:t>竹山县城关镇东门街（东门市场）</w:t>
      </w:r>
      <w:r>
        <w:rPr>
          <w:rFonts w:hint="eastAsia" w:ascii="仿宋_GB2312" w:hAnsi="仿宋" w:eastAsia="仿宋_GB2312"/>
          <w:color w:val="auto"/>
          <w:sz w:val="28"/>
          <w:szCs w:val="28"/>
          <w:highlight w:val="none"/>
          <w:lang w:val="en-US" w:eastAsia="zh-CN"/>
        </w:rPr>
        <w:t>3件门面房进行了实地勘察，经过认真分析和筛选，采用了科学的方法进行了评估。</w:t>
      </w:r>
    </w:p>
    <w:p>
      <w:pPr>
        <w:keepNext w:val="0"/>
        <w:keepLines w:val="0"/>
        <w:pageBreakBefore w:val="0"/>
        <w:widowControl w:val="0"/>
        <w:tabs>
          <w:tab w:val="left" w:pos="1140"/>
        </w:tabs>
        <w:kinsoku/>
        <w:wordWrap/>
        <w:overflowPunct/>
        <w:topLinePunct w:val="0"/>
        <w:autoSpaceDE/>
        <w:autoSpaceDN/>
        <w:bidi w:val="0"/>
        <w:adjustRightInd/>
        <w:snapToGrid/>
        <w:spacing w:line="360" w:lineRule="auto"/>
        <w:ind w:firstLine="560" w:firstLineChars="200"/>
        <w:textAlignment w:val="auto"/>
        <w:rPr>
          <w:rFonts w:hint="eastAsia" w:ascii="仿宋_GB2312" w:hAnsi="仿宋" w:eastAsia="仿宋_GB2312"/>
          <w:color w:val="auto"/>
          <w:sz w:val="28"/>
          <w:szCs w:val="28"/>
          <w:highlight w:val="none"/>
          <w:lang w:val="en-US" w:eastAsia="zh-CN"/>
        </w:rPr>
      </w:pPr>
      <w:r>
        <w:rPr>
          <w:rFonts w:hint="eastAsia" w:ascii="仿宋_GB2312" w:hAnsi="仿宋" w:eastAsia="仿宋_GB2312"/>
          <w:color w:val="auto"/>
          <w:sz w:val="28"/>
          <w:szCs w:val="28"/>
          <w:highlight w:val="none"/>
        </w:rPr>
        <w:t>估价人员对估价对象进行了现场勘察，并对各种有关信息进行了收集、整理和分析，依据房地产估价的原则、理论和方法，综合考虑当地房地产市场、社会经济发展等因素对房地产价值的影响，综合评定出</w:t>
      </w:r>
      <w:r>
        <w:rPr>
          <w:rFonts w:hint="eastAsia" w:ascii="仿宋_GB2312" w:hAnsi="仿宋" w:eastAsia="仿宋_GB2312"/>
          <w:color w:val="auto"/>
          <w:sz w:val="28"/>
          <w:szCs w:val="28"/>
          <w:highlight w:val="none"/>
          <w:lang w:val="en-US" w:eastAsia="zh-CN"/>
        </w:rPr>
        <w:t>估价对象</w:t>
      </w:r>
      <w:r>
        <w:rPr>
          <w:rFonts w:hint="eastAsia" w:ascii="仿宋_GB2312" w:hAnsi="仿宋" w:eastAsia="仿宋_GB2312"/>
          <w:color w:val="auto"/>
          <w:sz w:val="28"/>
          <w:szCs w:val="28"/>
          <w:highlight w:val="none"/>
        </w:rPr>
        <w:t>在价值时点</w:t>
      </w:r>
      <w:r>
        <w:rPr>
          <w:rFonts w:hint="eastAsia" w:ascii="仿宋_GB2312" w:hAnsi="仿宋" w:eastAsia="仿宋_GB2312"/>
          <w:color w:val="auto"/>
          <w:sz w:val="28"/>
          <w:szCs w:val="28"/>
          <w:highlight w:val="none"/>
          <w:lang w:eastAsia="zh-CN"/>
        </w:rPr>
        <w:t>2024年4月25日</w:t>
      </w:r>
      <w:r>
        <w:rPr>
          <w:rFonts w:hint="eastAsia" w:ascii="仿宋_GB2312" w:hAnsi="仿宋" w:eastAsia="仿宋_GB2312"/>
          <w:color w:val="auto"/>
          <w:sz w:val="28"/>
          <w:szCs w:val="28"/>
          <w:highlight w:val="none"/>
          <w:lang w:val="en-US" w:eastAsia="zh-CN"/>
        </w:rPr>
        <w:t>满足本报告估价假设和限制条件的年租金价值为¥</w:t>
      </w:r>
      <w:r>
        <w:rPr>
          <w:rFonts w:hint="eastAsia" w:ascii="仿宋_GB2312" w:hAnsi="仿宋" w:eastAsia="仿宋_GB2312"/>
          <w:b/>
          <w:bCs/>
          <w:color w:val="auto"/>
          <w:sz w:val="28"/>
          <w:szCs w:val="28"/>
          <w:highlight w:val="none"/>
          <w:lang w:val="en-US" w:eastAsia="zh-CN"/>
        </w:rPr>
        <w:t>55382元</w:t>
      </w:r>
      <w:r>
        <w:rPr>
          <w:rFonts w:hint="eastAsia" w:ascii="仿宋_GB2312" w:hAnsi="仿宋" w:eastAsia="仿宋_GB2312"/>
          <w:color w:val="auto"/>
          <w:sz w:val="28"/>
          <w:szCs w:val="28"/>
          <w:highlight w:val="none"/>
          <w:lang w:val="en-US" w:eastAsia="zh-CN"/>
        </w:rPr>
        <w:t>，大写人民币</w:t>
      </w:r>
      <w:r>
        <w:rPr>
          <w:rFonts w:hint="eastAsia" w:ascii="仿宋_GB2312" w:hAnsi="仿宋" w:eastAsia="仿宋_GB2312"/>
          <w:b/>
          <w:bCs/>
          <w:color w:val="auto"/>
          <w:sz w:val="28"/>
          <w:szCs w:val="28"/>
          <w:highlight w:val="none"/>
          <w:lang w:val="en-US" w:eastAsia="zh-CN"/>
        </w:rPr>
        <w:t>伍万伍仟叁佰捌拾贰元。</w:t>
      </w:r>
      <w:r>
        <w:rPr>
          <w:rFonts w:hint="eastAsia" w:ascii="仿宋_GB2312" w:hAnsi="仿宋" w:eastAsia="仿宋_GB2312"/>
          <w:color w:val="auto"/>
          <w:sz w:val="28"/>
          <w:szCs w:val="28"/>
          <w:highlight w:val="none"/>
          <w:lang w:val="en-US" w:eastAsia="zh-CN"/>
        </w:rPr>
        <w:t>详细租金情况详见《房地产估价结果一览表》。</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center"/>
        <w:textAlignment w:val="auto"/>
        <w:outlineLvl w:val="9"/>
        <w:rPr>
          <w:rFonts w:hint="eastAsia" w:ascii="仿宋_GB2312" w:hAnsi="仿宋" w:eastAsia="仿宋_GB2312"/>
          <w:color w:val="auto"/>
          <w:sz w:val="28"/>
          <w:szCs w:val="28"/>
          <w:highlight w:val="none"/>
          <w:lang w:val="en-US" w:eastAsia="zh-CN"/>
        </w:rPr>
      </w:pPr>
      <w:r>
        <w:rPr>
          <w:rFonts w:hint="eastAsia" w:ascii="仿宋_GB2312" w:hAnsi="仿宋" w:eastAsia="仿宋_GB2312"/>
          <w:color w:val="auto"/>
          <w:sz w:val="28"/>
          <w:szCs w:val="28"/>
          <w:highlight w:val="none"/>
          <w:lang w:val="en-US" w:eastAsia="zh-CN"/>
        </w:rPr>
        <w:t>房地产估价结果一览表</w:t>
      </w:r>
    </w:p>
    <w:tbl>
      <w:tblPr>
        <w:tblStyle w:val="12"/>
        <w:tblpPr w:leftFromText="180" w:rightFromText="180" w:vertAnchor="text" w:horzAnchor="page" w:tblpX="1769" w:tblpY="151"/>
        <w:tblOverlap w:val="never"/>
        <w:tblW w:w="88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7"/>
        <w:gridCol w:w="1400"/>
        <w:gridCol w:w="850"/>
        <w:gridCol w:w="1363"/>
        <w:gridCol w:w="1587"/>
        <w:gridCol w:w="1625"/>
        <w:gridCol w:w="1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vAlign w:val="center"/>
          </w:tcPr>
          <w:p>
            <w:pPr>
              <w:keepNext w:val="0"/>
              <w:keepLines w:val="0"/>
              <w:widowControl/>
              <w:suppressLineNumbers w:val="0"/>
              <w:jc w:val="center"/>
              <w:textAlignment w:val="center"/>
              <w:rPr>
                <w:rFonts w:hint="eastAsia" w:ascii="仿宋_GB2312" w:hAnsi="仿宋" w:eastAsia="仿宋_GB2312"/>
                <w:color w:val="auto"/>
                <w:sz w:val="28"/>
                <w:szCs w:val="28"/>
                <w:highlight w:val="none"/>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序号</w:t>
            </w:r>
          </w:p>
        </w:tc>
        <w:tc>
          <w:tcPr>
            <w:tcW w:w="1400" w:type="dxa"/>
            <w:vAlign w:val="center"/>
          </w:tcPr>
          <w:p>
            <w:pPr>
              <w:keepNext w:val="0"/>
              <w:keepLines w:val="0"/>
              <w:widowControl/>
              <w:suppressLineNumbers w:val="0"/>
              <w:jc w:val="center"/>
              <w:textAlignment w:val="center"/>
              <w:rPr>
                <w:rFonts w:hint="eastAsia" w:ascii="仿宋_GB2312" w:hAnsi="仿宋" w:eastAsia="仿宋_GB2312"/>
                <w:color w:val="auto"/>
                <w:sz w:val="28"/>
                <w:szCs w:val="28"/>
                <w:highlight w:val="none"/>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楼层</w:t>
            </w:r>
          </w:p>
        </w:tc>
        <w:tc>
          <w:tcPr>
            <w:tcW w:w="850" w:type="dxa"/>
            <w:vAlign w:val="center"/>
          </w:tcPr>
          <w:p>
            <w:pPr>
              <w:keepNext w:val="0"/>
              <w:keepLines w:val="0"/>
              <w:widowControl/>
              <w:suppressLineNumbers w:val="0"/>
              <w:jc w:val="center"/>
              <w:textAlignment w:val="center"/>
              <w:rPr>
                <w:rFonts w:hint="eastAsia" w:ascii="仿宋_GB2312" w:hAnsi="仿宋" w:eastAsia="仿宋_GB2312"/>
                <w:color w:val="auto"/>
                <w:sz w:val="28"/>
                <w:szCs w:val="28"/>
                <w:highlight w:val="none"/>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设计用途</w:t>
            </w:r>
          </w:p>
        </w:tc>
        <w:tc>
          <w:tcPr>
            <w:tcW w:w="1363" w:type="dxa"/>
            <w:vAlign w:val="center"/>
          </w:tcPr>
          <w:p>
            <w:pPr>
              <w:keepNext w:val="0"/>
              <w:keepLines w:val="0"/>
              <w:widowControl/>
              <w:suppressLineNumbers w:val="0"/>
              <w:jc w:val="center"/>
              <w:textAlignment w:val="center"/>
              <w:rPr>
                <w:rFonts w:hint="eastAsia" w:ascii="仿宋_GB2312" w:hAnsi="仿宋" w:eastAsia="仿宋_GB2312"/>
                <w:color w:val="auto"/>
                <w:sz w:val="28"/>
                <w:szCs w:val="28"/>
                <w:highlight w:val="none"/>
                <w:vertAlign w:val="baseline"/>
                <w:lang w:val="en-US" w:eastAsia="zh-CN"/>
              </w:rPr>
            </w:pPr>
            <w:r>
              <w:rPr>
                <w:rFonts w:hint="eastAsia" w:ascii="宋体" w:hAnsi="宋体" w:cs="宋体"/>
                <w:b/>
                <w:bCs/>
                <w:i w:val="0"/>
                <w:iCs w:val="0"/>
                <w:color w:val="000000"/>
                <w:kern w:val="0"/>
                <w:sz w:val="24"/>
                <w:szCs w:val="24"/>
                <w:u w:val="none"/>
                <w:lang w:val="en-US" w:eastAsia="zh-CN" w:bidi="ar"/>
              </w:rPr>
              <w:t>拟</w:t>
            </w:r>
            <w:r>
              <w:rPr>
                <w:rFonts w:hint="eastAsia" w:ascii="宋体" w:hAnsi="宋体" w:eastAsia="宋体" w:cs="宋体"/>
                <w:b/>
                <w:bCs/>
                <w:i w:val="0"/>
                <w:iCs w:val="0"/>
                <w:color w:val="000000"/>
                <w:kern w:val="0"/>
                <w:sz w:val="24"/>
                <w:szCs w:val="24"/>
                <w:u w:val="none"/>
                <w:lang w:val="en-US" w:eastAsia="zh-CN" w:bidi="ar"/>
              </w:rPr>
              <w:t>出租面积（㎡）</w:t>
            </w:r>
          </w:p>
        </w:tc>
        <w:tc>
          <w:tcPr>
            <w:tcW w:w="1587" w:type="dxa"/>
            <w:vAlign w:val="center"/>
          </w:tcPr>
          <w:p>
            <w:pPr>
              <w:keepNext w:val="0"/>
              <w:keepLines w:val="0"/>
              <w:widowControl/>
              <w:suppressLineNumbers w:val="0"/>
              <w:jc w:val="center"/>
              <w:textAlignment w:val="center"/>
              <w:rPr>
                <w:rFonts w:hint="eastAsia" w:ascii="仿宋_GB2312" w:hAnsi="仿宋" w:eastAsia="仿宋_GB2312"/>
                <w:color w:val="auto"/>
                <w:sz w:val="28"/>
                <w:szCs w:val="28"/>
                <w:highlight w:val="none"/>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租金价格                                                                                                                                                                                            （元/㎡/月）</w:t>
            </w:r>
          </w:p>
        </w:tc>
        <w:tc>
          <w:tcPr>
            <w:tcW w:w="1625" w:type="dxa"/>
            <w:vAlign w:val="center"/>
          </w:tcPr>
          <w:p>
            <w:pPr>
              <w:keepNext w:val="0"/>
              <w:keepLines w:val="0"/>
              <w:widowControl/>
              <w:suppressLineNumbers w:val="0"/>
              <w:jc w:val="center"/>
              <w:textAlignment w:val="center"/>
              <w:rPr>
                <w:rFonts w:hint="eastAsia" w:ascii="仿宋_GB2312" w:hAnsi="仿宋" w:eastAsia="仿宋_GB2312"/>
                <w:color w:val="auto"/>
                <w:sz w:val="28"/>
                <w:szCs w:val="28"/>
                <w:highlight w:val="none"/>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年租金价格                                （元/㎡/年）</w:t>
            </w:r>
          </w:p>
        </w:tc>
        <w:tc>
          <w:tcPr>
            <w:tcW w:w="1138" w:type="dxa"/>
          </w:tcPr>
          <w:p>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年租金</w:t>
            </w:r>
          </w:p>
          <w:p>
            <w:pPr>
              <w:keepNext w:val="0"/>
              <w:keepLines w:val="0"/>
              <w:widowControl/>
              <w:suppressLineNumbers w:val="0"/>
              <w:jc w:val="center"/>
              <w:textAlignment w:val="center"/>
              <w:rPr>
                <w:rFonts w:hint="default" w:ascii="宋体" w:hAnsi="宋体" w:eastAsia="宋体" w:cs="宋体"/>
                <w:b/>
                <w:bCs/>
                <w:i w:val="0"/>
                <w:iCs w:val="0"/>
                <w:color w:val="000000"/>
                <w:kern w:val="0"/>
                <w:sz w:val="24"/>
                <w:szCs w:val="24"/>
                <w:u w:val="none"/>
                <w:lang w:val="en-US" w:eastAsia="zh-CN" w:bidi="ar"/>
              </w:rPr>
            </w:pPr>
            <w:r>
              <w:rPr>
                <w:rFonts w:hint="eastAsia" w:ascii="宋体" w:hAnsi="宋体" w:cs="宋体"/>
                <w:b/>
                <w:bCs/>
                <w:i w:val="0"/>
                <w:iCs w:val="0"/>
                <w:color w:val="000000"/>
                <w:kern w:val="0"/>
                <w:sz w:val="24"/>
                <w:szCs w:val="24"/>
                <w:u w:val="none"/>
                <w:lang w:val="en-US" w:eastAsia="zh-CN" w:bidi="ar"/>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837" w:type="dxa"/>
            <w:vAlign w:val="center"/>
          </w:tcPr>
          <w:p>
            <w:pPr>
              <w:keepNext w:val="0"/>
              <w:keepLines w:val="0"/>
              <w:widowControl/>
              <w:suppressLineNumbers w:val="0"/>
              <w:jc w:val="center"/>
              <w:textAlignment w:val="center"/>
              <w:rPr>
                <w:rFonts w:hint="eastAsia" w:ascii="仿宋_GB2312" w:hAnsi="仿宋" w:eastAsia="仿宋_GB2312"/>
                <w:color w:val="auto"/>
                <w:sz w:val="28"/>
                <w:szCs w:val="28"/>
                <w:highlight w:val="none"/>
                <w:vertAlign w:val="baseline"/>
                <w:lang w:val="en-US" w:eastAsia="zh-CN"/>
              </w:rPr>
            </w:pPr>
            <w:r>
              <w:rPr>
                <w:rFonts w:hint="eastAsia" w:ascii="宋体" w:hAnsi="宋体" w:eastAsia="宋体" w:cs="宋体"/>
                <w:i w:val="0"/>
                <w:iCs w:val="0"/>
                <w:color w:val="000000"/>
                <w:kern w:val="0"/>
                <w:sz w:val="24"/>
                <w:szCs w:val="24"/>
                <w:u w:val="none"/>
                <w:lang w:val="en-US" w:eastAsia="zh-CN" w:bidi="ar"/>
              </w:rPr>
              <w:t>1</w:t>
            </w:r>
          </w:p>
        </w:tc>
        <w:tc>
          <w:tcPr>
            <w:tcW w:w="1400" w:type="dxa"/>
            <w:vAlign w:val="center"/>
          </w:tcPr>
          <w:p>
            <w:pPr>
              <w:keepNext w:val="0"/>
              <w:keepLines w:val="0"/>
              <w:widowControl/>
              <w:suppressLineNumbers w:val="0"/>
              <w:jc w:val="center"/>
              <w:textAlignment w:val="center"/>
              <w:rPr>
                <w:rFonts w:hint="eastAsia" w:ascii="仿宋_GB2312" w:hAnsi="仿宋" w:eastAsia="仿宋_GB2312"/>
                <w:color w:val="auto"/>
                <w:sz w:val="28"/>
                <w:szCs w:val="28"/>
                <w:highlight w:val="none"/>
                <w:vertAlign w:val="baseline"/>
                <w:lang w:val="en-US" w:eastAsia="zh-CN"/>
              </w:rPr>
            </w:pPr>
            <w:r>
              <w:rPr>
                <w:rFonts w:hint="eastAsia" w:ascii="宋体" w:hAnsi="宋体" w:eastAsia="宋体" w:cs="宋体"/>
                <w:i w:val="0"/>
                <w:iCs w:val="0"/>
                <w:color w:val="000000"/>
                <w:kern w:val="0"/>
                <w:sz w:val="24"/>
                <w:szCs w:val="24"/>
                <w:u w:val="none"/>
                <w:lang w:val="en-US" w:eastAsia="zh-CN" w:bidi="ar"/>
              </w:rPr>
              <w:t>1-1（水果）</w:t>
            </w:r>
          </w:p>
        </w:tc>
        <w:tc>
          <w:tcPr>
            <w:tcW w:w="850" w:type="dxa"/>
            <w:vAlign w:val="center"/>
          </w:tcPr>
          <w:p>
            <w:pPr>
              <w:keepNext w:val="0"/>
              <w:keepLines w:val="0"/>
              <w:widowControl/>
              <w:suppressLineNumbers w:val="0"/>
              <w:jc w:val="center"/>
              <w:textAlignment w:val="center"/>
              <w:rPr>
                <w:rFonts w:hint="eastAsia" w:ascii="仿宋_GB2312" w:hAnsi="仿宋" w:eastAsia="仿宋_GB2312"/>
                <w:color w:val="auto"/>
                <w:sz w:val="28"/>
                <w:szCs w:val="28"/>
                <w:highlight w:val="none"/>
                <w:vertAlign w:val="baseline"/>
                <w:lang w:val="en-US" w:eastAsia="zh-CN"/>
              </w:rPr>
            </w:pPr>
            <w:r>
              <w:rPr>
                <w:rFonts w:hint="eastAsia" w:ascii="宋体" w:hAnsi="宋体" w:eastAsia="宋体" w:cs="宋体"/>
                <w:i w:val="0"/>
                <w:iCs w:val="0"/>
                <w:color w:val="000000"/>
                <w:kern w:val="0"/>
                <w:sz w:val="24"/>
                <w:szCs w:val="24"/>
                <w:u w:val="none"/>
                <w:lang w:val="en-US" w:eastAsia="zh-CN" w:bidi="ar"/>
              </w:rPr>
              <w:t>商业</w:t>
            </w:r>
          </w:p>
        </w:tc>
        <w:tc>
          <w:tcPr>
            <w:tcW w:w="1363" w:type="dxa"/>
            <w:vAlign w:val="center"/>
          </w:tcPr>
          <w:p>
            <w:pPr>
              <w:keepNext w:val="0"/>
              <w:keepLines w:val="0"/>
              <w:widowControl/>
              <w:suppressLineNumbers w:val="0"/>
              <w:jc w:val="center"/>
              <w:textAlignment w:val="center"/>
              <w:rPr>
                <w:rFonts w:hint="eastAsia" w:ascii="仿宋_GB2312" w:hAnsi="仿宋" w:eastAsia="仿宋_GB2312"/>
                <w:color w:val="auto"/>
                <w:sz w:val="28"/>
                <w:szCs w:val="28"/>
                <w:highlight w:val="none"/>
                <w:vertAlign w:val="baseline"/>
                <w:lang w:val="en-US" w:eastAsia="zh-CN"/>
              </w:rPr>
            </w:pPr>
            <w:r>
              <w:rPr>
                <w:rFonts w:hint="eastAsia" w:ascii="宋体" w:hAnsi="宋体" w:eastAsia="宋体" w:cs="宋体"/>
                <w:i w:val="0"/>
                <w:iCs w:val="0"/>
                <w:color w:val="000000"/>
                <w:kern w:val="0"/>
                <w:sz w:val="24"/>
                <w:szCs w:val="24"/>
                <w:u w:val="none"/>
                <w:lang w:val="en-US" w:eastAsia="zh-CN" w:bidi="ar"/>
              </w:rPr>
              <w:t>28.42</w:t>
            </w:r>
          </w:p>
        </w:tc>
        <w:tc>
          <w:tcPr>
            <w:tcW w:w="1587" w:type="dxa"/>
            <w:vAlign w:val="center"/>
          </w:tcPr>
          <w:p>
            <w:pPr>
              <w:keepNext w:val="0"/>
              <w:keepLines w:val="0"/>
              <w:widowControl/>
              <w:suppressLineNumbers w:val="0"/>
              <w:jc w:val="center"/>
              <w:textAlignment w:val="center"/>
              <w:rPr>
                <w:rFonts w:hint="eastAsia" w:ascii="仿宋_GB2312" w:hAnsi="仿宋" w:eastAsia="仿宋_GB2312"/>
                <w:color w:val="auto"/>
                <w:sz w:val="28"/>
                <w:szCs w:val="28"/>
                <w:highlight w:val="none"/>
                <w:vertAlign w:val="baseline"/>
                <w:lang w:val="en-US" w:eastAsia="zh-CN"/>
              </w:rPr>
            </w:pPr>
            <w:r>
              <w:rPr>
                <w:rFonts w:hint="eastAsia" w:ascii="宋体" w:hAnsi="宋体" w:eastAsia="宋体" w:cs="宋体"/>
                <w:i w:val="0"/>
                <w:iCs w:val="0"/>
                <w:color w:val="000000"/>
                <w:kern w:val="0"/>
                <w:sz w:val="24"/>
                <w:szCs w:val="24"/>
                <w:u w:val="none"/>
                <w:lang w:val="en-US" w:eastAsia="zh-CN" w:bidi="ar"/>
              </w:rPr>
              <w:t xml:space="preserve">60.00 </w:t>
            </w:r>
          </w:p>
        </w:tc>
        <w:tc>
          <w:tcPr>
            <w:tcW w:w="1625" w:type="dxa"/>
            <w:vAlign w:val="center"/>
          </w:tcPr>
          <w:p>
            <w:pPr>
              <w:keepNext w:val="0"/>
              <w:keepLines w:val="0"/>
              <w:widowControl/>
              <w:suppressLineNumbers w:val="0"/>
              <w:jc w:val="center"/>
              <w:textAlignment w:val="center"/>
              <w:rPr>
                <w:rFonts w:hint="eastAsia" w:ascii="仿宋_GB2312" w:hAnsi="仿宋" w:eastAsia="仿宋_GB2312"/>
                <w:color w:val="auto"/>
                <w:sz w:val="28"/>
                <w:szCs w:val="28"/>
                <w:highlight w:val="none"/>
                <w:vertAlign w:val="baseline"/>
                <w:lang w:val="en-US" w:eastAsia="zh-CN"/>
              </w:rPr>
            </w:pPr>
            <w:r>
              <w:rPr>
                <w:rFonts w:hint="eastAsia" w:ascii="宋体" w:hAnsi="宋体" w:eastAsia="宋体" w:cs="宋体"/>
                <w:i w:val="0"/>
                <w:iCs w:val="0"/>
                <w:color w:val="000000"/>
                <w:kern w:val="0"/>
                <w:sz w:val="24"/>
                <w:szCs w:val="24"/>
                <w:u w:val="none"/>
                <w:lang w:val="en-US" w:eastAsia="zh-CN" w:bidi="ar"/>
              </w:rPr>
              <w:t xml:space="preserve">720.00 </w:t>
            </w:r>
          </w:p>
        </w:tc>
        <w:tc>
          <w:tcPr>
            <w:tcW w:w="1138"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20462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7" w:type="dxa"/>
            <w:vAlign w:val="center"/>
          </w:tcPr>
          <w:p>
            <w:pPr>
              <w:keepNext w:val="0"/>
              <w:keepLines w:val="0"/>
              <w:widowControl/>
              <w:suppressLineNumbers w:val="0"/>
              <w:jc w:val="center"/>
              <w:textAlignment w:val="center"/>
              <w:rPr>
                <w:rFonts w:hint="eastAsia" w:ascii="仿宋_GB2312" w:hAnsi="仿宋" w:eastAsia="仿宋_GB2312"/>
                <w:color w:val="auto"/>
                <w:sz w:val="28"/>
                <w:szCs w:val="28"/>
                <w:highlight w:val="none"/>
                <w:vertAlign w:val="baseline"/>
                <w:lang w:val="en-US" w:eastAsia="zh-CN"/>
              </w:rPr>
            </w:pPr>
            <w:r>
              <w:rPr>
                <w:rFonts w:hint="eastAsia" w:ascii="宋体" w:hAnsi="宋体" w:eastAsia="宋体" w:cs="宋体"/>
                <w:i w:val="0"/>
                <w:iCs w:val="0"/>
                <w:color w:val="000000"/>
                <w:kern w:val="0"/>
                <w:sz w:val="24"/>
                <w:szCs w:val="24"/>
                <w:u w:val="none"/>
                <w:lang w:val="en-US" w:eastAsia="zh-CN" w:bidi="ar"/>
              </w:rPr>
              <w:t>2</w:t>
            </w:r>
          </w:p>
        </w:tc>
        <w:tc>
          <w:tcPr>
            <w:tcW w:w="1400" w:type="dxa"/>
            <w:vAlign w:val="center"/>
          </w:tcPr>
          <w:p>
            <w:pPr>
              <w:keepNext w:val="0"/>
              <w:keepLines w:val="0"/>
              <w:widowControl/>
              <w:suppressLineNumbers w:val="0"/>
              <w:jc w:val="center"/>
              <w:textAlignment w:val="center"/>
              <w:rPr>
                <w:rFonts w:hint="eastAsia" w:ascii="仿宋_GB2312" w:hAnsi="仿宋" w:eastAsia="仿宋_GB2312"/>
                <w:color w:val="auto"/>
                <w:sz w:val="28"/>
                <w:szCs w:val="28"/>
                <w:highlight w:val="none"/>
                <w:vertAlign w:val="baseline"/>
                <w:lang w:val="en-US" w:eastAsia="zh-CN"/>
              </w:rPr>
            </w:pPr>
            <w:r>
              <w:rPr>
                <w:rFonts w:hint="eastAsia" w:ascii="宋体" w:hAnsi="宋体" w:eastAsia="宋体" w:cs="宋体"/>
                <w:i w:val="0"/>
                <w:iCs w:val="0"/>
                <w:color w:val="000000"/>
                <w:kern w:val="0"/>
                <w:sz w:val="24"/>
                <w:szCs w:val="24"/>
                <w:u w:val="none"/>
                <w:lang w:val="en-US" w:eastAsia="zh-CN" w:bidi="ar"/>
              </w:rPr>
              <w:t>1-2（水果）</w:t>
            </w:r>
          </w:p>
        </w:tc>
        <w:tc>
          <w:tcPr>
            <w:tcW w:w="850" w:type="dxa"/>
            <w:vAlign w:val="center"/>
          </w:tcPr>
          <w:p>
            <w:pPr>
              <w:keepNext w:val="0"/>
              <w:keepLines w:val="0"/>
              <w:widowControl/>
              <w:suppressLineNumbers w:val="0"/>
              <w:jc w:val="center"/>
              <w:textAlignment w:val="center"/>
              <w:rPr>
                <w:rFonts w:hint="eastAsia" w:ascii="仿宋_GB2312" w:hAnsi="仿宋" w:eastAsia="仿宋_GB2312"/>
                <w:color w:val="auto"/>
                <w:sz w:val="28"/>
                <w:szCs w:val="28"/>
                <w:highlight w:val="none"/>
                <w:vertAlign w:val="baseline"/>
                <w:lang w:val="en-US" w:eastAsia="zh-CN"/>
              </w:rPr>
            </w:pPr>
            <w:r>
              <w:rPr>
                <w:rFonts w:hint="eastAsia" w:ascii="宋体" w:hAnsi="宋体" w:eastAsia="宋体" w:cs="宋体"/>
                <w:i w:val="0"/>
                <w:iCs w:val="0"/>
                <w:color w:val="000000"/>
                <w:kern w:val="0"/>
                <w:sz w:val="24"/>
                <w:szCs w:val="24"/>
                <w:u w:val="none"/>
                <w:lang w:val="en-US" w:eastAsia="zh-CN" w:bidi="ar"/>
              </w:rPr>
              <w:t>商业</w:t>
            </w:r>
          </w:p>
        </w:tc>
        <w:tc>
          <w:tcPr>
            <w:tcW w:w="1363" w:type="dxa"/>
            <w:vAlign w:val="center"/>
          </w:tcPr>
          <w:p>
            <w:pPr>
              <w:keepNext w:val="0"/>
              <w:keepLines w:val="0"/>
              <w:widowControl/>
              <w:suppressLineNumbers w:val="0"/>
              <w:jc w:val="center"/>
              <w:textAlignment w:val="center"/>
              <w:rPr>
                <w:rFonts w:hint="eastAsia" w:ascii="仿宋_GB2312" w:hAnsi="仿宋" w:eastAsia="仿宋_GB2312"/>
                <w:color w:val="auto"/>
                <w:sz w:val="28"/>
                <w:szCs w:val="28"/>
                <w:highlight w:val="none"/>
                <w:vertAlign w:val="baseline"/>
                <w:lang w:val="en-US" w:eastAsia="zh-CN"/>
              </w:rPr>
            </w:pPr>
            <w:r>
              <w:rPr>
                <w:rFonts w:hint="eastAsia" w:ascii="宋体" w:hAnsi="宋体" w:eastAsia="宋体" w:cs="宋体"/>
                <w:i w:val="0"/>
                <w:iCs w:val="0"/>
                <w:color w:val="000000"/>
                <w:kern w:val="0"/>
                <w:sz w:val="24"/>
                <w:szCs w:val="24"/>
                <w:u w:val="none"/>
                <w:lang w:val="en-US" w:eastAsia="zh-CN" w:bidi="ar"/>
              </w:rPr>
              <w:t>24.74</w:t>
            </w:r>
          </w:p>
        </w:tc>
        <w:tc>
          <w:tcPr>
            <w:tcW w:w="1587" w:type="dxa"/>
            <w:vAlign w:val="center"/>
          </w:tcPr>
          <w:p>
            <w:pPr>
              <w:keepNext w:val="0"/>
              <w:keepLines w:val="0"/>
              <w:widowControl/>
              <w:suppressLineNumbers w:val="0"/>
              <w:jc w:val="center"/>
              <w:textAlignment w:val="center"/>
              <w:rPr>
                <w:rFonts w:hint="eastAsia" w:ascii="仿宋_GB2312" w:hAnsi="仿宋" w:eastAsia="仿宋_GB2312"/>
                <w:color w:val="auto"/>
                <w:sz w:val="28"/>
                <w:szCs w:val="28"/>
                <w:highlight w:val="none"/>
                <w:vertAlign w:val="baseline"/>
                <w:lang w:val="en-US" w:eastAsia="zh-CN"/>
              </w:rPr>
            </w:pPr>
            <w:r>
              <w:rPr>
                <w:rFonts w:hint="eastAsia" w:ascii="宋体" w:hAnsi="宋体" w:eastAsia="宋体" w:cs="宋体"/>
                <w:i w:val="0"/>
                <w:iCs w:val="0"/>
                <w:color w:val="000000"/>
                <w:kern w:val="0"/>
                <w:sz w:val="24"/>
                <w:szCs w:val="24"/>
                <w:u w:val="none"/>
                <w:lang w:val="en-US" w:eastAsia="zh-CN" w:bidi="ar"/>
              </w:rPr>
              <w:t xml:space="preserve">60.00 </w:t>
            </w:r>
          </w:p>
        </w:tc>
        <w:tc>
          <w:tcPr>
            <w:tcW w:w="1625" w:type="dxa"/>
            <w:vAlign w:val="center"/>
          </w:tcPr>
          <w:p>
            <w:pPr>
              <w:keepNext w:val="0"/>
              <w:keepLines w:val="0"/>
              <w:widowControl/>
              <w:suppressLineNumbers w:val="0"/>
              <w:jc w:val="center"/>
              <w:textAlignment w:val="center"/>
              <w:rPr>
                <w:rFonts w:hint="eastAsia" w:ascii="仿宋_GB2312" w:hAnsi="仿宋" w:eastAsia="仿宋_GB2312"/>
                <w:color w:val="auto"/>
                <w:sz w:val="28"/>
                <w:szCs w:val="28"/>
                <w:highlight w:val="none"/>
                <w:vertAlign w:val="baseline"/>
                <w:lang w:val="en-US" w:eastAsia="zh-CN"/>
              </w:rPr>
            </w:pPr>
            <w:r>
              <w:rPr>
                <w:rFonts w:hint="eastAsia" w:ascii="宋体" w:hAnsi="宋体" w:eastAsia="宋体" w:cs="宋体"/>
                <w:i w:val="0"/>
                <w:iCs w:val="0"/>
                <w:color w:val="000000"/>
                <w:kern w:val="0"/>
                <w:sz w:val="24"/>
                <w:szCs w:val="24"/>
                <w:u w:val="none"/>
                <w:lang w:val="en-US" w:eastAsia="zh-CN" w:bidi="ar"/>
              </w:rPr>
              <w:t xml:space="preserve">720.00 </w:t>
            </w:r>
          </w:p>
        </w:tc>
        <w:tc>
          <w:tcPr>
            <w:tcW w:w="1138"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17813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837" w:type="dxa"/>
            <w:vAlign w:val="center"/>
          </w:tcPr>
          <w:p>
            <w:pPr>
              <w:keepNext w:val="0"/>
              <w:keepLines w:val="0"/>
              <w:widowControl/>
              <w:suppressLineNumbers w:val="0"/>
              <w:jc w:val="center"/>
              <w:textAlignment w:val="center"/>
              <w:rPr>
                <w:rFonts w:hint="eastAsia" w:ascii="仿宋_GB2312" w:hAnsi="仿宋" w:eastAsia="仿宋_GB2312"/>
                <w:color w:val="auto"/>
                <w:sz w:val="28"/>
                <w:szCs w:val="28"/>
                <w:highlight w:val="none"/>
                <w:vertAlign w:val="baseline"/>
                <w:lang w:val="en-US" w:eastAsia="zh-CN"/>
              </w:rPr>
            </w:pPr>
            <w:r>
              <w:rPr>
                <w:rFonts w:hint="eastAsia" w:ascii="宋体" w:hAnsi="宋体" w:eastAsia="宋体" w:cs="宋体"/>
                <w:i w:val="0"/>
                <w:iCs w:val="0"/>
                <w:color w:val="000000"/>
                <w:kern w:val="0"/>
                <w:sz w:val="24"/>
                <w:szCs w:val="24"/>
                <w:u w:val="none"/>
                <w:lang w:val="en-US" w:eastAsia="zh-CN" w:bidi="ar"/>
              </w:rPr>
              <w:t>3</w:t>
            </w:r>
          </w:p>
        </w:tc>
        <w:tc>
          <w:tcPr>
            <w:tcW w:w="1400" w:type="dxa"/>
            <w:vAlign w:val="center"/>
          </w:tcPr>
          <w:p>
            <w:pPr>
              <w:keepNext w:val="0"/>
              <w:keepLines w:val="0"/>
              <w:widowControl/>
              <w:suppressLineNumbers w:val="0"/>
              <w:jc w:val="center"/>
              <w:textAlignment w:val="center"/>
              <w:rPr>
                <w:rFonts w:hint="eastAsia" w:ascii="仿宋_GB2312" w:hAnsi="仿宋" w:eastAsia="仿宋_GB2312"/>
                <w:color w:val="auto"/>
                <w:sz w:val="28"/>
                <w:szCs w:val="28"/>
                <w:highlight w:val="none"/>
                <w:vertAlign w:val="baseline"/>
                <w:lang w:val="en-US" w:eastAsia="zh-CN"/>
              </w:rPr>
            </w:pPr>
            <w:r>
              <w:rPr>
                <w:rFonts w:hint="eastAsia" w:ascii="宋体" w:hAnsi="宋体" w:eastAsia="宋体" w:cs="宋体"/>
                <w:i w:val="0"/>
                <w:iCs w:val="0"/>
                <w:color w:val="000000"/>
                <w:kern w:val="0"/>
                <w:sz w:val="24"/>
                <w:szCs w:val="24"/>
                <w:u w:val="none"/>
                <w:lang w:val="en-US" w:eastAsia="zh-CN" w:bidi="ar"/>
              </w:rPr>
              <w:t>1-3（蛋糕）</w:t>
            </w:r>
          </w:p>
        </w:tc>
        <w:tc>
          <w:tcPr>
            <w:tcW w:w="850" w:type="dxa"/>
            <w:vAlign w:val="center"/>
          </w:tcPr>
          <w:p>
            <w:pPr>
              <w:keepNext w:val="0"/>
              <w:keepLines w:val="0"/>
              <w:widowControl/>
              <w:suppressLineNumbers w:val="0"/>
              <w:jc w:val="center"/>
              <w:textAlignment w:val="center"/>
              <w:rPr>
                <w:rFonts w:hint="eastAsia" w:ascii="仿宋_GB2312" w:hAnsi="仿宋" w:eastAsia="仿宋_GB2312"/>
                <w:color w:val="auto"/>
                <w:sz w:val="28"/>
                <w:szCs w:val="28"/>
                <w:highlight w:val="none"/>
                <w:vertAlign w:val="baseline"/>
                <w:lang w:val="en-US" w:eastAsia="zh-CN"/>
              </w:rPr>
            </w:pPr>
            <w:r>
              <w:rPr>
                <w:rFonts w:hint="eastAsia" w:ascii="宋体" w:hAnsi="宋体" w:eastAsia="宋体" w:cs="宋体"/>
                <w:i w:val="0"/>
                <w:iCs w:val="0"/>
                <w:color w:val="000000"/>
                <w:kern w:val="0"/>
                <w:sz w:val="24"/>
                <w:szCs w:val="24"/>
                <w:u w:val="none"/>
                <w:lang w:val="en-US" w:eastAsia="zh-CN" w:bidi="ar"/>
              </w:rPr>
              <w:t>商业</w:t>
            </w:r>
          </w:p>
        </w:tc>
        <w:tc>
          <w:tcPr>
            <w:tcW w:w="1363" w:type="dxa"/>
            <w:vAlign w:val="center"/>
          </w:tcPr>
          <w:p>
            <w:pPr>
              <w:keepNext w:val="0"/>
              <w:keepLines w:val="0"/>
              <w:widowControl/>
              <w:suppressLineNumbers w:val="0"/>
              <w:jc w:val="center"/>
              <w:textAlignment w:val="center"/>
              <w:rPr>
                <w:rFonts w:hint="eastAsia" w:ascii="仿宋_GB2312" w:hAnsi="仿宋" w:eastAsia="仿宋_GB2312"/>
                <w:color w:val="auto"/>
                <w:sz w:val="28"/>
                <w:szCs w:val="28"/>
                <w:highlight w:val="none"/>
                <w:vertAlign w:val="baseline"/>
                <w:lang w:val="en-US" w:eastAsia="zh-CN"/>
              </w:rPr>
            </w:pPr>
            <w:r>
              <w:rPr>
                <w:rFonts w:hint="eastAsia" w:ascii="宋体" w:hAnsi="宋体" w:eastAsia="宋体" w:cs="宋体"/>
                <w:i w:val="0"/>
                <w:iCs w:val="0"/>
                <w:color w:val="000000"/>
                <w:kern w:val="0"/>
                <w:sz w:val="24"/>
                <w:szCs w:val="24"/>
                <w:u w:val="none"/>
                <w:lang w:val="en-US" w:eastAsia="zh-CN" w:bidi="ar"/>
              </w:rPr>
              <w:t>23.76</w:t>
            </w:r>
          </w:p>
        </w:tc>
        <w:tc>
          <w:tcPr>
            <w:tcW w:w="1587" w:type="dxa"/>
            <w:vAlign w:val="center"/>
          </w:tcPr>
          <w:p>
            <w:pPr>
              <w:keepNext w:val="0"/>
              <w:keepLines w:val="0"/>
              <w:widowControl/>
              <w:suppressLineNumbers w:val="0"/>
              <w:jc w:val="center"/>
              <w:textAlignment w:val="center"/>
              <w:rPr>
                <w:rFonts w:hint="eastAsia" w:ascii="仿宋_GB2312" w:hAnsi="仿宋" w:eastAsia="仿宋_GB2312"/>
                <w:color w:val="auto"/>
                <w:sz w:val="28"/>
                <w:szCs w:val="28"/>
                <w:highlight w:val="none"/>
                <w:vertAlign w:val="baseline"/>
                <w:lang w:val="en-US" w:eastAsia="zh-CN"/>
              </w:rPr>
            </w:pPr>
            <w:r>
              <w:rPr>
                <w:rFonts w:hint="eastAsia" w:ascii="宋体" w:hAnsi="宋体" w:eastAsia="宋体" w:cs="宋体"/>
                <w:i w:val="0"/>
                <w:iCs w:val="0"/>
                <w:color w:val="000000"/>
                <w:kern w:val="0"/>
                <w:sz w:val="24"/>
                <w:szCs w:val="24"/>
                <w:u w:val="none"/>
                <w:lang w:val="en-US" w:eastAsia="zh-CN" w:bidi="ar"/>
              </w:rPr>
              <w:t xml:space="preserve">60.00 </w:t>
            </w:r>
          </w:p>
        </w:tc>
        <w:tc>
          <w:tcPr>
            <w:tcW w:w="1625" w:type="dxa"/>
            <w:vAlign w:val="center"/>
          </w:tcPr>
          <w:p>
            <w:pPr>
              <w:keepNext w:val="0"/>
              <w:keepLines w:val="0"/>
              <w:widowControl/>
              <w:suppressLineNumbers w:val="0"/>
              <w:jc w:val="center"/>
              <w:textAlignment w:val="center"/>
              <w:rPr>
                <w:rFonts w:hint="eastAsia" w:ascii="仿宋_GB2312" w:hAnsi="仿宋" w:eastAsia="仿宋_GB2312"/>
                <w:color w:val="auto"/>
                <w:sz w:val="28"/>
                <w:szCs w:val="28"/>
                <w:highlight w:val="none"/>
                <w:vertAlign w:val="baseline"/>
                <w:lang w:val="en-US" w:eastAsia="zh-CN"/>
              </w:rPr>
            </w:pPr>
            <w:r>
              <w:rPr>
                <w:rFonts w:hint="eastAsia" w:ascii="宋体" w:hAnsi="宋体" w:eastAsia="宋体" w:cs="宋体"/>
                <w:i w:val="0"/>
                <w:iCs w:val="0"/>
                <w:color w:val="000000"/>
                <w:kern w:val="0"/>
                <w:sz w:val="24"/>
                <w:szCs w:val="24"/>
                <w:u w:val="none"/>
                <w:lang w:val="en-US" w:eastAsia="zh-CN" w:bidi="ar"/>
              </w:rPr>
              <w:t xml:space="preserve">720.00 </w:t>
            </w:r>
          </w:p>
        </w:tc>
        <w:tc>
          <w:tcPr>
            <w:tcW w:w="1138"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17107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7" w:type="dxa"/>
            <w:gridSpan w:val="2"/>
            <w:vAlign w:val="center"/>
          </w:tcPr>
          <w:p>
            <w:pPr>
              <w:keepNext w:val="0"/>
              <w:keepLines w:val="0"/>
              <w:widowControl/>
              <w:suppressLineNumbers w:val="0"/>
              <w:jc w:val="center"/>
              <w:textAlignment w:val="center"/>
              <w:rPr>
                <w:rFonts w:hint="eastAsia" w:ascii="仿宋_GB2312" w:hAnsi="仿宋" w:eastAsia="仿宋_GB2312"/>
                <w:color w:val="auto"/>
                <w:sz w:val="28"/>
                <w:szCs w:val="28"/>
                <w:highlight w:val="none"/>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总计</w:t>
            </w:r>
          </w:p>
        </w:tc>
        <w:tc>
          <w:tcPr>
            <w:tcW w:w="850" w:type="dxa"/>
            <w:vAlign w:val="center"/>
          </w:tcPr>
          <w:p>
            <w:pPr>
              <w:jc w:val="center"/>
              <w:rPr>
                <w:rFonts w:hint="eastAsia" w:ascii="仿宋_GB2312" w:hAnsi="仿宋" w:eastAsia="仿宋_GB2312"/>
                <w:color w:val="auto"/>
                <w:sz w:val="28"/>
                <w:szCs w:val="28"/>
                <w:highlight w:val="none"/>
                <w:vertAlign w:val="baseline"/>
                <w:lang w:val="en-US" w:eastAsia="zh-CN"/>
              </w:rPr>
            </w:pPr>
          </w:p>
        </w:tc>
        <w:tc>
          <w:tcPr>
            <w:tcW w:w="1363" w:type="dxa"/>
            <w:vAlign w:val="center"/>
          </w:tcPr>
          <w:p>
            <w:pPr>
              <w:keepNext w:val="0"/>
              <w:keepLines w:val="0"/>
              <w:widowControl/>
              <w:suppressLineNumbers w:val="0"/>
              <w:jc w:val="center"/>
              <w:textAlignment w:val="center"/>
              <w:rPr>
                <w:rFonts w:hint="eastAsia" w:ascii="仿宋_GB2312" w:hAnsi="仿宋" w:eastAsia="仿宋_GB2312"/>
                <w:color w:val="auto"/>
                <w:sz w:val="28"/>
                <w:szCs w:val="28"/>
                <w:highlight w:val="none"/>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76.92</w:t>
            </w:r>
          </w:p>
        </w:tc>
        <w:tc>
          <w:tcPr>
            <w:tcW w:w="1587" w:type="dxa"/>
            <w:vAlign w:val="center"/>
          </w:tcPr>
          <w:p>
            <w:pPr>
              <w:jc w:val="center"/>
              <w:rPr>
                <w:rFonts w:hint="eastAsia" w:ascii="仿宋_GB2312" w:hAnsi="仿宋" w:eastAsia="仿宋_GB2312"/>
                <w:color w:val="auto"/>
                <w:sz w:val="28"/>
                <w:szCs w:val="28"/>
                <w:highlight w:val="none"/>
                <w:vertAlign w:val="baseline"/>
                <w:lang w:val="en-US" w:eastAsia="zh-CN"/>
              </w:rPr>
            </w:pPr>
          </w:p>
        </w:tc>
        <w:tc>
          <w:tcPr>
            <w:tcW w:w="1625" w:type="dxa"/>
            <w:vAlign w:val="center"/>
          </w:tcPr>
          <w:p>
            <w:pPr>
              <w:jc w:val="center"/>
              <w:rPr>
                <w:rFonts w:hint="eastAsia" w:ascii="仿宋_GB2312" w:hAnsi="仿宋" w:eastAsia="仿宋_GB2312"/>
                <w:color w:val="auto"/>
                <w:sz w:val="28"/>
                <w:szCs w:val="28"/>
                <w:highlight w:val="none"/>
                <w:vertAlign w:val="baseline"/>
                <w:lang w:val="en-US" w:eastAsia="zh-CN"/>
              </w:rPr>
            </w:pPr>
          </w:p>
        </w:tc>
        <w:tc>
          <w:tcPr>
            <w:tcW w:w="1138"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 xml:space="preserve">55382 </w:t>
            </w:r>
          </w:p>
        </w:tc>
      </w:tr>
    </w:tbl>
    <w:p>
      <w:pPr>
        <w:keepNext w:val="0"/>
        <w:keepLines w:val="0"/>
        <w:pageBreakBefore w:val="0"/>
        <w:widowControl w:val="0"/>
        <w:tabs>
          <w:tab w:val="left" w:pos="1140"/>
        </w:tabs>
        <w:kinsoku/>
        <w:wordWrap/>
        <w:overflowPunct/>
        <w:topLinePunct w:val="0"/>
        <w:autoSpaceDE/>
        <w:autoSpaceDN/>
        <w:bidi w:val="0"/>
        <w:adjustRightInd/>
        <w:snapToGrid/>
        <w:spacing w:line="580" w:lineRule="exact"/>
        <w:ind w:firstLine="560" w:firstLineChars="200"/>
        <w:textAlignment w:val="auto"/>
        <w:rPr>
          <w:rFonts w:hint="default" w:ascii="仿宋_GB2312" w:hAnsi="仿宋" w:eastAsia="仿宋_GB2312"/>
          <w:color w:val="auto"/>
          <w:sz w:val="28"/>
          <w:szCs w:val="28"/>
          <w:highlight w:val="none"/>
          <w:lang w:val="en-US" w:eastAsia="zh-CN"/>
        </w:rPr>
      </w:pPr>
      <w:r>
        <w:rPr>
          <w:rFonts w:hint="eastAsia" w:ascii="仿宋_GB2312" w:hAnsi="仿宋" w:eastAsia="仿宋_GB2312"/>
          <w:color w:val="auto"/>
          <w:sz w:val="28"/>
          <w:szCs w:val="28"/>
          <w:highlight w:val="none"/>
          <w:lang w:val="en-US" w:eastAsia="zh-CN"/>
        </w:rPr>
        <w:t>特此函告！</w:t>
      </w:r>
    </w:p>
    <w:p>
      <w:pPr>
        <w:keepNext w:val="0"/>
        <w:keepLines w:val="0"/>
        <w:pageBreakBefore w:val="0"/>
        <w:widowControl w:val="0"/>
        <w:tabs>
          <w:tab w:val="left" w:pos="1140"/>
        </w:tabs>
        <w:kinsoku/>
        <w:wordWrap/>
        <w:overflowPunct/>
        <w:topLinePunct w:val="0"/>
        <w:autoSpaceDE/>
        <w:autoSpaceDN/>
        <w:bidi w:val="0"/>
        <w:adjustRightInd/>
        <w:snapToGrid/>
        <w:spacing w:line="580" w:lineRule="exact"/>
        <w:ind w:firstLine="560" w:firstLineChars="200"/>
        <w:textAlignment w:val="auto"/>
        <w:rPr>
          <w:rFonts w:hint="eastAsia" w:ascii="仿宋_GB2312" w:hAnsi="仿宋" w:eastAsia="仿宋_GB2312"/>
          <w:color w:val="auto"/>
          <w:sz w:val="28"/>
          <w:szCs w:val="28"/>
          <w:highlight w:val="none"/>
          <w:lang w:val="en-US" w:eastAsia="zh-CN"/>
        </w:rPr>
      </w:pPr>
      <w:r>
        <w:rPr>
          <w:rFonts w:hint="eastAsia" w:ascii="仿宋_GB2312" w:hAnsi="仿宋" w:eastAsia="仿宋_GB2312"/>
          <w:color w:val="auto"/>
          <w:sz w:val="28"/>
          <w:szCs w:val="28"/>
          <w:highlight w:val="none"/>
        </w:rPr>
        <w:fldChar w:fldCharType="begin"/>
      </w:r>
      <w:r>
        <w:rPr>
          <w:rFonts w:hint="eastAsia" w:ascii="仿宋_GB2312" w:hAnsi="仿宋" w:eastAsia="仿宋_GB2312"/>
          <w:color w:val="auto"/>
          <w:sz w:val="28"/>
          <w:szCs w:val="28"/>
          <w:highlight w:val="none"/>
        </w:rPr>
        <w:instrText xml:space="preserve"> EQ </w:instrText>
      </w:r>
      <w:r>
        <w:rPr>
          <w:rFonts w:hint="eastAsia" w:ascii="仿宋_GB2312" w:hAnsi="仿宋" w:eastAsia="仿宋_GB2312"/>
          <w:color w:val="auto"/>
          <w:sz w:val="28"/>
          <w:szCs w:val="28"/>
          <w:highlight w:val="none"/>
        </w:rPr>
        <w:fldChar w:fldCharType="end"/>
      </w:r>
      <w:r>
        <w:rPr>
          <w:rFonts w:hint="eastAsia" w:ascii="仿宋_GB2312" w:hAnsi="仿宋" w:eastAsia="仿宋_GB2312"/>
          <w:color w:val="auto"/>
          <w:sz w:val="28"/>
          <w:szCs w:val="28"/>
          <w:highlight w:val="none"/>
        </w:rPr>
        <w:t xml:space="preserve">  </w:t>
      </w:r>
      <w:r>
        <w:rPr>
          <w:rFonts w:hint="eastAsia" w:ascii="仿宋_GB2312" w:hAnsi="仿宋" w:eastAsia="仿宋_GB2312"/>
          <w:color w:val="auto"/>
          <w:sz w:val="28"/>
          <w:szCs w:val="28"/>
          <w:highlight w:val="none"/>
          <w:lang w:val="en-US" w:eastAsia="zh-CN"/>
        </w:rPr>
        <w:t xml:space="preserve">                     </w:t>
      </w:r>
      <w:r>
        <w:rPr>
          <w:rFonts w:hint="eastAsia" w:ascii="仿宋_GB2312" w:hAnsi="仿宋" w:eastAsia="仿宋_GB2312"/>
          <w:color w:val="auto"/>
          <w:sz w:val="28"/>
          <w:szCs w:val="28"/>
          <w:highlight w:val="none"/>
          <w:lang w:eastAsia="zh-CN"/>
        </w:rPr>
        <w:t>湖北德高房地产资产评估有限公司</w:t>
      </w:r>
      <w:r>
        <w:rPr>
          <w:rFonts w:hint="eastAsia" w:ascii="仿宋_GB2312" w:hAnsi="仿宋" w:eastAsia="仿宋_GB2312"/>
          <w:color w:val="auto"/>
          <w:sz w:val="28"/>
          <w:szCs w:val="28"/>
          <w:highlight w:val="none"/>
        </w:rPr>
        <w:t xml:space="preserve">                            </w:t>
      </w:r>
      <w:r>
        <w:rPr>
          <w:rFonts w:hint="eastAsia" w:ascii="仿宋_GB2312" w:hAnsi="仿宋" w:eastAsia="仿宋_GB2312"/>
          <w:color w:val="auto"/>
          <w:sz w:val="28"/>
          <w:szCs w:val="28"/>
          <w:highlight w:val="none"/>
          <w:lang w:val="en-US" w:eastAsia="zh-CN"/>
        </w:rPr>
        <w:t xml:space="preserve"> </w:t>
      </w:r>
      <w:r>
        <w:rPr>
          <w:rFonts w:hint="eastAsia" w:ascii="仿宋_GB2312" w:hAnsi="仿宋" w:eastAsia="仿宋_GB2312"/>
          <w:color w:val="auto"/>
          <w:sz w:val="28"/>
          <w:szCs w:val="28"/>
          <w:highlight w:val="none"/>
        </w:rPr>
        <w:t xml:space="preserve">    </w:t>
      </w:r>
      <w:r>
        <w:rPr>
          <w:rFonts w:hint="eastAsia" w:ascii="仿宋_GB2312" w:hAnsi="仿宋" w:eastAsia="仿宋_GB2312"/>
          <w:color w:val="auto"/>
          <w:sz w:val="28"/>
          <w:szCs w:val="28"/>
          <w:highlight w:val="none"/>
          <w:lang w:val="en-US" w:eastAsia="zh-CN"/>
        </w:rPr>
        <w:t xml:space="preserve">                                                                                   </w:t>
      </w:r>
      <w:r>
        <w:rPr>
          <w:rFonts w:hint="eastAsia" w:ascii="仿宋_GB2312" w:hAnsi="仿宋" w:eastAsia="仿宋_GB2312"/>
          <w:b/>
          <w:color w:val="auto"/>
          <w:sz w:val="36"/>
          <w:szCs w:val="36"/>
          <w:highlight w:val="none"/>
          <w:lang w:val="en-US" w:eastAsia="zh-CN"/>
        </w:rPr>
        <w:t xml:space="preserve">              </w:t>
      </w:r>
      <w:r>
        <w:rPr>
          <w:rFonts w:hint="eastAsia" w:ascii="仿宋_GB2312" w:hAnsi="仿宋" w:eastAsia="仿宋_GB2312"/>
          <w:color w:val="auto"/>
          <w:sz w:val="28"/>
          <w:szCs w:val="28"/>
          <w:highlight w:val="none"/>
          <w:lang w:val="en-US" w:eastAsia="zh-CN"/>
        </w:rPr>
        <w:t xml:space="preserve">                        </w:t>
      </w:r>
    </w:p>
    <w:p>
      <w:pPr>
        <w:spacing w:line="380" w:lineRule="exact"/>
        <w:jc w:val="center"/>
        <w:rPr>
          <w:rFonts w:hint="eastAsia" w:ascii="仿宋_GB2312" w:hAnsi="仿宋" w:eastAsia="仿宋_GB2312"/>
          <w:color w:val="auto"/>
          <w:sz w:val="28"/>
          <w:szCs w:val="28"/>
          <w:highlight w:val="none"/>
          <w:lang w:val="en-US" w:eastAsia="zh-CN"/>
        </w:rPr>
      </w:pPr>
      <w:r>
        <w:rPr>
          <w:rFonts w:hint="eastAsia" w:ascii="仿宋_GB2312" w:hAnsi="仿宋" w:eastAsia="仿宋_GB2312"/>
          <w:color w:val="auto"/>
          <w:sz w:val="28"/>
          <w:szCs w:val="28"/>
          <w:highlight w:val="none"/>
          <w:lang w:val="en-US" w:eastAsia="zh-CN"/>
        </w:rPr>
        <w:t xml:space="preserve">                   </w:t>
      </w:r>
    </w:p>
    <w:p>
      <w:pPr>
        <w:spacing w:line="380" w:lineRule="exact"/>
        <w:jc w:val="center"/>
        <w:rPr>
          <w:rFonts w:hint="eastAsia" w:ascii="仿宋_GB2312" w:hAnsi="仿宋" w:eastAsia="仿宋_GB2312"/>
          <w:color w:val="auto"/>
          <w:sz w:val="28"/>
          <w:szCs w:val="28"/>
          <w:highlight w:val="none"/>
          <w:lang w:val="en-US" w:eastAsia="zh-CN"/>
        </w:rPr>
      </w:pPr>
      <w:r>
        <w:rPr>
          <w:rFonts w:hint="eastAsia" w:ascii="仿宋_GB2312" w:hAnsi="仿宋" w:eastAsia="仿宋_GB2312"/>
          <w:color w:val="auto"/>
          <w:sz w:val="28"/>
          <w:szCs w:val="28"/>
          <w:highlight w:val="none"/>
          <w:lang w:val="en-US" w:eastAsia="zh-CN"/>
        </w:rPr>
        <w:t xml:space="preserve">                    </w:t>
      </w:r>
      <w:r>
        <w:rPr>
          <w:rFonts w:hint="eastAsia" w:ascii="仿宋_GB2312" w:hAnsi="仿宋" w:eastAsia="仿宋_GB2312"/>
          <w:color w:val="auto"/>
          <w:sz w:val="28"/>
          <w:szCs w:val="28"/>
          <w:highlight w:val="none"/>
        </w:rPr>
        <w:t>估价机构法定代表人：</w:t>
      </w:r>
    </w:p>
    <w:p>
      <w:pPr>
        <w:keepNext w:val="0"/>
        <w:keepLines w:val="0"/>
        <w:pageBreakBefore/>
        <w:widowControl w:val="0"/>
        <w:kinsoku/>
        <w:wordWrap/>
        <w:overflowPunct/>
        <w:topLinePunct w:val="0"/>
        <w:autoSpaceDE/>
        <w:autoSpaceDN/>
        <w:bidi w:val="0"/>
        <w:adjustRightInd/>
        <w:snapToGrid/>
        <w:spacing w:line="520" w:lineRule="exact"/>
        <w:jc w:val="center"/>
        <w:textAlignment w:val="auto"/>
        <w:outlineLvl w:val="9"/>
        <w:rPr>
          <w:rFonts w:hint="eastAsia" w:ascii="仿宋_GB2312" w:hAnsi="仿宋" w:eastAsia="仿宋_GB2312"/>
          <w:b/>
          <w:color w:val="auto"/>
          <w:sz w:val="36"/>
          <w:szCs w:val="36"/>
          <w:highlight w:val="none"/>
        </w:rPr>
      </w:pPr>
      <w:r>
        <w:rPr>
          <w:rFonts w:hint="eastAsia" w:ascii="仿宋_GB2312" w:hAnsi="仿宋" w:eastAsia="仿宋_GB2312"/>
          <w:b/>
          <w:color w:val="auto"/>
          <w:sz w:val="36"/>
          <w:szCs w:val="36"/>
          <w:highlight w:val="none"/>
        </w:rPr>
        <w:t>目      录</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jc w:val="both"/>
        <w:textAlignment w:val="auto"/>
        <w:outlineLvl w:val="9"/>
        <w:rPr>
          <w:rFonts w:hint="eastAsia" w:ascii="仿宋_GB2312" w:hAnsi="仿宋" w:eastAsia="仿宋_GB2312"/>
          <w:b/>
          <w:color w:val="auto"/>
          <w:sz w:val="10"/>
          <w:szCs w:val="10"/>
          <w:highlight w:val="none"/>
          <w:u w:val="single"/>
          <w:lang w:val="en-US" w:eastAsia="zh-CN"/>
        </w:rPr>
      </w:pPr>
      <w:r>
        <w:rPr>
          <w:rFonts w:hint="eastAsia" w:ascii="仿宋_GB2312" w:hAnsi="仿宋" w:eastAsia="仿宋_GB2312"/>
          <w:b/>
          <w:color w:val="auto"/>
          <w:sz w:val="24"/>
          <w:highlight w:val="none"/>
        </w:rPr>
        <w:t xml:space="preserve">◇ </w:t>
      </w:r>
      <w:r>
        <w:rPr>
          <w:rFonts w:hint="eastAsia" w:ascii="仿宋_GB2312" w:hAnsi="仿宋" w:eastAsia="仿宋_GB2312"/>
          <w:b/>
          <w:color w:val="auto"/>
          <w:sz w:val="24"/>
          <w:highlight w:val="none"/>
          <w:lang w:val="en-US" w:eastAsia="zh-CN"/>
        </w:rPr>
        <w:t>致估价人委托函</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lang w:val="en-US" w:eastAsia="zh-CN"/>
        </w:rPr>
        <w:t>1</w:t>
      </w:r>
    </w:p>
    <w:p>
      <w:pPr>
        <w:keepNext w:val="0"/>
        <w:keepLines w:val="0"/>
        <w:pageBreakBefore w:val="0"/>
        <w:widowControl w:val="0"/>
        <w:kinsoku/>
        <w:wordWrap/>
        <w:overflowPunct/>
        <w:topLinePunct w:val="0"/>
        <w:autoSpaceDE/>
        <w:autoSpaceDN/>
        <w:bidi w:val="0"/>
        <w:adjustRightInd/>
        <w:snapToGrid/>
        <w:spacing w:line="520" w:lineRule="exact"/>
        <w:ind w:firstLine="472" w:firstLineChars="196"/>
        <w:textAlignment w:val="auto"/>
        <w:outlineLvl w:val="9"/>
        <w:rPr>
          <w:rFonts w:hint="eastAsia" w:ascii="仿宋_GB2312" w:hAnsi="仿宋" w:eastAsia="仿宋_GB2312"/>
          <w:color w:val="auto"/>
          <w:sz w:val="24"/>
          <w:highlight w:val="none"/>
        </w:rPr>
      </w:pPr>
      <w:r>
        <w:rPr>
          <w:rFonts w:hint="eastAsia" w:ascii="仿宋_GB2312" w:hAnsi="仿宋" w:eastAsia="仿宋_GB2312"/>
          <w:b/>
          <w:color w:val="auto"/>
          <w:sz w:val="24"/>
          <w:highlight w:val="none"/>
        </w:rPr>
        <w:t>◇ 估价师声明</w:t>
      </w:r>
      <w:r>
        <w:rPr>
          <w:rFonts w:hint="eastAsia" w:ascii="仿宋_GB2312" w:hAnsi="仿宋" w:eastAsia="仿宋_GB2312"/>
          <w:color w:val="auto"/>
          <w:sz w:val="24"/>
          <w:highlight w:val="none"/>
        </w:rPr>
        <w:t>—————————————————————————3</w:t>
      </w:r>
    </w:p>
    <w:p>
      <w:pPr>
        <w:keepNext w:val="0"/>
        <w:keepLines w:val="0"/>
        <w:pageBreakBefore w:val="0"/>
        <w:widowControl w:val="0"/>
        <w:kinsoku/>
        <w:wordWrap/>
        <w:overflowPunct/>
        <w:topLinePunct w:val="0"/>
        <w:autoSpaceDE/>
        <w:autoSpaceDN/>
        <w:bidi w:val="0"/>
        <w:adjustRightInd/>
        <w:snapToGrid/>
        <w:spacing w:line="520" w:lineRule="exact"/>
        <w:ind w:firstLine="472" w:firstLineChars="196"/>
        <w:textAlignment w:val="auto"/>
        <w:outlineLvl w:val="9"/>
        <w:rPr>
          <w:rFonts w:hint="eastAsia" w:ascii="仿宋_GB2312" w:hAnsi="仿宋" w:eastAsia="仿宋_GB2312"/>
          <w:color w:val="auto"/>
          <w:sz w:val="24"/>
          <w:highlight w:val="none"/>
        </w:rPr>
      </w:pPr>
      <w:r>
        <w:rPr>
          <w:rFonts w:hint="eastAsia" w:ascii="仿宋_GB2312" w:hAnsi="仿宋" w:eastAsia="仿宋_GB2312"/>
          <w:b/>
          <w:color w:val="auto"/>
          <w:sz w:val="24"/>
          <w:highlight w:val="none"/>
        </w:rPr>
        <w:t>◇ 估价假设和限制条件</w:t>
      </w:r>
      <w:r>
        <w:rPr>
          <w:rFonts w:hint="eastAsia" w:ascii="仿宋_GB2312" w:hAnsi="仿宋" w:eastAsia="仿宋_GB2312"/>
          <w:color w:val="auto"/>
          <w:sz w:val="24"/>
          <w:highlight w:val="none"/>
        </w:rPr>
        <w:t>—————————————————————4</w:t>
      </w:r>
    </w:p>
    <w:p>
      <w:pPr>
        <w:keepNext w:val="0"/>
        <w:keepLines w:val="0"/>
        <w:pageBreakBefore w:val="0"/>
        <w:widowControl w:val="0"/>
        <w:kinsoku/>
        <w:wordWrap/>
        <w:overflowPunct/>
        <w:topLinePunct w:val="0"/>
        <w:autoSpaceDE/>
        <w:autoSpaceDN/>
        <w:bidi w:val="0"/>
        <w:adjustRightInd/>
        <w:snapToGrid/>
        <w:spacing w:line="520" w:lineRule="exact"/>
        <w:ind w:firstLine="472" w:firstLineChars="196"/>
        <w:textAlignment w:val="auto"/>
        <w:outlineLvl w:val="9"/>
        <w:rPr>
          <w:rFonts w:hint="eastAsia" w:ascii="仿宋_GB2312" w:hAnsi="仿宋" w:eastAsia="仿宋_GB2312"/>
          <w:color w:val="auto"/>
          <w:sz w:val="24"/>
          <w:highlight w:val="none"/>
          <w:lang w:eastAsia="zh-CN"/>
        </w:rPr>
      </w:pPr>
      <w:r>
        <w:rPr>
          <w:rFonts w:hint="eastAsia" w:ascii="仿宋_GB2312" w:hAnsi="仿宋" w:eastAsia="仿宋_GB2312"/>
          <w:b/>
          <w:color w:val="auto"/>
          <w:sz w:val="24"/>
          <w:highlight w:val="none"/>
        </w:rPr>
        <w:t>◇ 估价结果报告</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lang w:val="en-US" w:eastAsia="zh-CN"/>
        </w:rPr>
        <w:t>7</w:t>
      </w:r>
    </w:p>
    <w:p>
      <w:pPr>
        <w:keepNext w:val="0"/>
        <w:keepLines w:val="0"/>
        <w:pageBreakBefore w:val="0"/>
        <w:widowControl w:val="0"/>
        <w:kinsoku/>
        <w:wordWrap/>
        <w:overflowPunct/>
        <w:topLinePunct w:val="0"/>
        <w:autoSpaceDE/>
        <w:autoSpaceDN/>
        <w:bidi w:val="0"/>
        <w:adjustRightInd/>
        <w:snapToGrid/>
        <w:spacing w:line="520" w:lineRule="exact"/>
        <w:ind w:firstLine="960" w:firstLineChars="400"/>
        <w:textAlignment w:val="auto"/>
        <w:outlineLvl w:val="9"/>
        <w:rPr>
          <w:rFonts w:hint="eastAsia" w:ascii="仿宋_GB2312" w:hAnsi="仿宋" w:eastAsia="仿宋_GB2312"/>
          <w:color w:val="auto"/>
          <w:sz w:val="24"/>
          <w:highlight w:val="none"/>
          <w:lang w:eastAsia="zh-CN"/>
        </w:rPr>
      </w:pPr>
      <w:r>
        <w:rPr>
          <w:rFonts w:hint="eastAsia" w:ascii="仿宋_GB2312" w:hAnsi="仿宋" w:eastAsia="仿宋_GB2312"/>
          <w:color w:val="auto"/>
          <w:sz w:val="24"/>
          <w:highlight w:val="none"/>
        </w:rPr>
        <w:t>一、估价委托人 ——————————————————————</w:t>
      </w:r>
      <w:r>
        <w:rPr>
          <w:rFonts w:hint="eastAsia" w:ascii="仿宋_GB2312" w:hAnsi="仿宋" w:eastAsia="仿宋_GB2312"/>
          <w:color w:val="auto"/>
          <w:sz w:val="24"/>
          <w:highlight w:val="none"/>
          <w:lang w:val="en-US" w:eastAsia="zh-CN"/>
        </w:rPr>
        <w:t>7</w:t>
      </w:r>
    </w:p>
    <w:p>
      <w:pPr>
        <w:keepNext w:val="0"/>
        <w:keepLines w:val="0"/>
        <w:pageBreakBefore w:val="0"/>
        <w:widowControl w:val="0"/>
        <w:kinsoku/>
        <w:wordWrap/>
        <w:overflowPunct/>
        <w:topLinePunct w:val="0"/>
        <w:autoSpaceDE/>
        <w:autoSpaceDN/>
        <w:bidi w:val="0"/>
        <w:adjustRightInd/>
        <w:snapToGrid/>
        <w:spacing w:line="520" w:lineRule="exact"/>
        <w:ind w:firstLine="960" w:firstLineChars="400"/>
        <w:textAlignment w:val="auto"/>
        <w:outlineLvl w:val="9"/>
        <w:rPr>
          <w:rFonts w:hint="eastAsia" w:ascii="仿宋_GB2312" w:hAnsi="仿宋" w:eastAsia="仿宋_GB2312"/>
          <w:color w:val="auto"/>
          <w:sz w:val="24"/>
          <w:highlight w:val="none"/>
          <w:lang w:eastAsia="zh-CN"/>
        </w:rPr>
      </w:pPr>
      <w:r>
        <w:rPr>
          <w:rFonts w:hint="eastAsia" w:ascii="仿宋_GB2312" w:hAnsi="仿宋" w:eastAsia="仿宋_GB2312"/>
          <w:color w:val="auto"/>
          <w:sz w:val="24"/>
          <w:highlight w:val="none"/>
        </w:rPr>
        <w:t>二、房地产估价机构 ————————————————————</w:t>
      </w:r>
      <w:r>
        <w:rPr>
          <w:rFonts w:hint="eastAsia" w:ascii="仿宋_GB2312" w:hAnsi="仿宋" w:eastAsia="仿宋_GB2312"/>
          <w:color w:val="auto"/>
          <w:sz w:val="24"/>
          <w:highlight w:val="none"/>
          <w:lang w:val="en-US" w:eastAsia="zh-CN"/>
        </w:rPr>
        <w:t>7</w:t>
      </w:r>
    </w:p>
    <w:p>
      <w:pPr>
        <w:keepNext w:val="0"/>
        <w:keepLines w:val="0"/>
        <w:pageBreakBefore w:val="0"/>
        <w:widowControl w:val="0"/>
        <w:kinsoku/>
        <w:wordWrap/>
        <w:overflowPunct/>
        <w:topLinePunct w:val="0"/>
        <w:autoSpaceDE/>
        <w:autoSpaceDN/>
        <w:bidi w:val="0"/>
        <w:adjustRightInd/>
        <w:snapToGrid/>
        <w:spacing w:line="520" w:lineRule="exact"/>
        <w:ind w:firstLine="960" w:firstLineChars="400"/>
        <w:textAlignment w:val="auto"/>
        <w:outlineLvl w:val="9"/>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三、估价目的 ———————————————————————</w:t>
      </w:r>
      <w:r>
        <w:rPr>
          <w:rFonts w:hint="eastAsia" w:ascii="仿宋_GB2312" w:hAnsi="仿宋" w:eastAsia="仿宋_GB2312"/>
          <w:color w:val="auto"/>
          <w:sz w:val="24"/>
          <w:highlight w:val="none"/>
          <w:lang w:val="en-US" w:eastAsia="zh-CN"/>
        </w:rPr>
        <w:t>7</w:t>
      </w:r>
      <w:r>
        <w:rPr>
          <w:rFonts w:hint="eastAsia" w:ascii="仿宋_GB2312" w:hAnsi="仿宋" w:eastAsia="仿宋_GB2312"/>
          <w:color w:val="auto"/>
          <w:sz w:val="24"/>
          <w:highlight w:val="none"/>
        </w:rPr>
        <w:t xml:space="preserve">   </w:t>
      </w:r>
    </w:p>
    <w:p>
      <w:pPr>
        <w:keepNext w:val="0"/>
        <w:keepLines w:val="0"/>
        <w:pageBreakBefore w:val="0"/>
        <w:widowControl w:val="0"/>
        <w:kinsoku/>
        <w:wordWrap/>
        <w:overflowPunct/>
        <w:topLinePunct w:val="0"/>
        <w:autoSpaceDE/>
        <w:autoSpaceDN/>
        <w:bidi w:val="0"/>
        <w:adjustRightInd/>
        <w:snapToGrid/>
        <w:spacing w:line="520" w:lineRule="exact"/>
        <w:ind w:firstLine="960" w:firstLineChars="400"/>
        <w:textAlignment w:val="auto"/>
        <w:outlineLvl w:val="9"/>
        <w:rPr>
          <w:rFonts w:hint="eastAsia" w:ascii="仿宋_GB2312" w:hAnsi="仿宋" w:eastAsia="仿宋_GB2312"/>
          <w:color w:val="auto"/>
          <w:sz w:val="24"/>
          <w:highlight w:val="none"/>
          <w:lang w:eastAsia="zh-CN"/>
        </w:rPr>
      </w:pPr>
      <w:r>
        <w:rPr>
          <w:rFonts w:hint="eastAsia" w:ascii="仿宋_GB2312" w:hAnsi="仿宋" w:eastAsia="仿宋_GB2312"/>
          <w:color w:val="auto"/>
          <w:sz w:val="24"/>
          <w:highlight w:val="none"/>
        </w:rPr>
        <w:t>四、估价对象 ———————————————————————</w:t>
      </w:r>
      <w:r>
        <w:rPr>
          <w:rFonts w:hint="eastAsia" w:ascii="仿宋_GB2312" w:hAnsi="仿宋" w:eastAsia="仿宋_GB2312"/>
          <w:color w:val="auto"/>
          <w:sz w:val="24"/>
          <w:highlight w:val="none"/>
          <w:lang w:val="en-US" w:eastAsia="zh-CN"/>
        </w:rPr>
        <w:t>7</w:t>
      </w:r>
    </w:p>
    <w:p>
      <w:pPr>
        <w:keepNext w:val="0"/>
        <w:keepLines w:val="0"/>
        <w:pageBreakBefore w:val="0"/>
        <w:widowControl w:val="0"/>
        <w:kinsoku/>
        <w:wordWrap/>
        <w:overflowPunct/>
        <w:topLinePunct w:val="0"/>
        <w:autoSpaceDE/>
        <w:autoSpaceDN/>
        <w:bidi w:val="0"/>
        <w:adjustRightInd/>
        <w:snapToGrid/>
        <w:spacing w:line="520" w:lineRule="exact"/>
        <w:ind w:firstLine="960" w:firstLineChars="400"/>
        <w:textAlignment w:val="auto"/>
        <w:outlineLvl w:val="9"/>
        <w:rPr>
          <w:rFonts w:hint="eastAsia" w:ascii="仿宋_GB2312" w:hAnsi="仿宋" w:eastAsia="仿宋_GB2312"/>
          <w:color w:val="auto"/>
          <w:sz w:val="24"/>
          <w:highlight w:val="none"/>
          <w:lang w:eastAsia="zh-CN"/>
        </w:rPr>
      </w:pPr>
      <w:r>
        <w:rPr>
          <w:rFonts w:hint="eastAsia" w:ascii="仿宋_GB2312" w:hAnsi="仿宋" w:eastAsia="仿宋_GB2312"/>
          <w:color w:val="auto"/>
          <w:sz w:val="24"/>
          <w:highlight w:val="none"/>
        </w:rPr>
        <w:t>五、价值时点 ———————————————————————</w:t>
      </w:r>
      <w:r>
        <w:rPr>
          <w:rFonts w:hint="eastAsia" w:ascii="仿宋_GB2312" w:hAnsi="仿宋" w:eastAsia="仿宋_GB2312"/>
          <w:color w:val="auto"/>
          <w:sz w:val="24"/>
          <w:highlight w:val="none"/>
          <w:lang w:val="en-US" w:eastAsia="zh-CN"/>
        </w:rPr>
        <w:t>9</w:t>
      </w:r>
    </w:p>
    <w:p>
      <w:pPr>
        <w:keepNext w:val="0"/>
        <w:keepLines w:val="0"/>
        <w:pageBreakBefore w:val="0"/>
        <w:widowControl w:val="0"/>
        <w:kinsoku/>
        <w:wordWrap/>
        <w:overflowPunct/>
        <w:topLinePunct w:val="0"/>
        <w:autoSpaceDE/>
        <w:autoSpaceDN/>
        <w:bidi w:val="0"/>
        <w:adjustRightInd/>
        <w:snapToGrid/>
        <w:spacing w:line="520" w:lineRule="exact"/>
        <w:ind w:firstLine="960" w:firstLineChars="400"/>
        <w:textAlignment w:val="auto"/>
        <w:outlineLvl w:val="9"/>
        <w:rPr>
          <w:rFonts w:hint="eastAsia" w:ascii="仿宋_GB2312" w:hAnsi="仿宋" w:eastAsia="仿宋_GB2312"/>
          <w:color w:val="auto"/>
          <w:sz w:val="24"/>
          <w:highlight w:val="none"/>
          <w:lang w:eastAsia="zh-CN"/>
        </w:rPr>
      </w:pPr>
      <w:r>
        <w:rPr>
          <w:rFonts w:hint="eastAsia" w:ascii="仿宋_GB2312" w:hAnsi="仿宋" w:eastAsia="仿宋_GB2312"/>
          <w:color w:val="auto"/>
          <w:sz w:val="24"/>
          <w:highlight w:val="none"/>
        </w:rPr>
        <w:t>六、价值类型 ———————————————————————</w:t>
      </w:r>
      <w:r>
        <w:rPr>
          <w:rFonts w:hint="eastAsia" w:ascii="仿宋_GB2312" w:hAnsi="仿宋" w:eastAsia="仿宋_GB2312"/>
          <w:color w:val="auto"/>
          <w:sz w:val="24"/>
          <w:highlight w:val="none"/>
          <w:lang w:val="en-US" w:eastAsia="zh-CN"/>
        </w:rPr>
        <w:t>9</w:t>
      </w:r>
    </w:p>
    <w:p>
      <w:pPr>
        <w:keepNext w:val="0"/>
        <w:keepLines w:val="0"/>
        <w:pageBreakBefore w:val="0"/>
        <w:widowControl w:val="0"/>
        <w:kinsoku/>
        <w:wordWrap/>
        <w:overflowPunct/>
        <w:topLinePunct w:val="0"/>
        <w:autoSpaceDE/>
        <w:autoSpaceDN/>
        <w:bidi w:val="0"/>
        <w:adjustRightInd/>
        <w:snapToGrid/>
        <w:spacing w:line="520" w:lineRule="exact"/>
        <w:ind w:firstLine="960" w:firstLineChars="400"/>
        <w:textAlignment w:val="auto"/>
        <w:outlineLvl w:val="9"/>
        <w:rPr>
          <w:rFonts w:hint="default" w:ascii="仿宋_GB2312" w:hAnsi="仿宋" w:eastAsia="仿宋_GB2312"/>
          <w:color w:val="auto"/>
          <w:sz w:val="24"/>
          <w:highlight w:val="none"/>
          <w:lang w:val="en-US" w:eastAsia="zh-CN"/>
        </w:rPr>
      </w:pPr>
      <w:r>
        <w:rPr>
          <w:rFonts w:hint="eastAsia" w:ascii="仿宋_GB2312" w:hAnsi="仿宋" w:eastAsia="仿宋_GB2312"/>
          <w:color w:val="auto"/>
          <w:sz w:val="24"/>
          <w:highlight w:val="none"/>
        </w:rPr>
        <w:t>七、估价原则 ———————————————————————</w:t>
      </w:r>
      <w:r>
        <w:rPr>
          <w:rFonts w:hint="eastAsia" w:ascii="仿宋_GB2312" w:hAnsi="仿宋" w:eastAsia="仿宋_GB2312"/>
          <w:color w:val="auto"/>
          <w:sz w:val="24"/>
          <w:highlight w:val="none"/>
          <w:lang w:val="en-US" w:eastAsia="zh-CN"/>
        </w:rPr>
        <w:t>10</w:t>
      </w:r>
    </w:p>
    <w:p>
      <w:pPr>
        <w:keepNext w:val="0"/>
        <w:keepLines w:val="0"/>
        <w:pageBreakBefore w:val="0"/>
        <w:widowControl w:val="0"/>
        <w:kinsoku/>
        <w:wordWrap/>
        <w:overflowPunct/>
        <w:topLinePunct w:val="0"/>
        <w:autoSpaceDE/>
        <w:autoSpaceDN/>
        <w:bidi w:val="0"/>
        <w:adjustRightInd/>
        <w:snapToGrid/>
        <w:spacing w:line="520" w:lineRule="exact"/>
        <w:ind w:firstLine="960" w:firstLineChars="400"/>
        <w:textAlignment w:val="auto"/>
        <w:outlineLvl w:val="9"/>
        <w:rPr>
          <w:rFonts w:hint="default" w:ascii="仿宋_GB2312" w:hAnsi="仿宋" w:eastAsia="仿宋_GB2312"/>
          <w:color w:val="auto"/>
          <w:sz w:val="24"/>
          <w:highlight w:val="none"/>
          <w:lang w:val="en-US" w:eastAsia="zh-CN"/>
        </w:rPr>
      </w:pPr>
      <w:r>
        <w:rPr>
          <w:rFonts w:hint="eastAsia" w:ascii="仿宋_GB2312" w:hAnsi="仿宋" w:eastAsia="仿宋_GB2312"/>
          <w:color w:val="auto"/>
          <w:sz w:val="24"/>
          <w:highlight w:val="none"/>
        </w:rPr>
        <w:t>八、估价依据 ———————————————————————</w:t>
      </w:r>
      <w:r>
        <w:rPr>
          <w:rFonts w:hint="eastAsia" w:ascii="仿宋_GB2312" w:hAnsi="仿宋" w:eastAsia="仿宋_GB2312"/>
          <w:color w:val="auto"/>
          <w:sz w:val="24"/>
          <w:highlight w:val="none"/>
          <w:lang w:val="en-US" w:eastAsia="zh-CN"/>
        </w:rPr>
        <w:t>11</w:t>
      </w:r>
    </w:p>
    <w:p>
      <w:pPr>
        <w:keepNext w:val="0"/>
        <w:keepLines w:val="0"/>
        <w:pageBreakBefore w:val="0"/>
        <w:widowControl w:val="0"/>
        <w:kinsoku/>
        <w:wordWrap/>
        <w:overflowPunct/>
        <w:topLinePunct w:val="0"/>
        <w:autoSpaceDE/>
        <w:autoSpaceDN/>
        <w:bidi w:val="0"/>
        <w:adjustRightInd/>
        <w:snapToGrid/>
        <w:spacing w:line="520" w:lineRule="exact"/>
        <w:ind w:firstLine="960" w:firstLineChars="400"/>
        <w:textAlignment w:val="auto"/>
        <w:outlineLvl w:val="9"/>
        <w:rPr>
          <w:rFonts w:hint="default" w:ascii="仿宋_GB2312" w:hAnsi="仿宋" w:eastAsia="仿宋_GB2312"/>
          <w:color w:val="auto"/>
          <w:sz w:val="24"/>
          <w:highlight w:val="none"/>
          <w:lang w:val="en-US" w:eastAsia="zh-CN"/>
        </w:rPr>
      </w:pPr>
      <w:r>
        <w:rPr>
          <w:rFonts w:hint="eastAsia" w:ascii="仿宋_GB2312" w:hAnsi="仿宋" w:eastAsia="仿宋_GB2312"/>
          <w:color w:val="auto"/>
          <w:sz w:val="24"/>
          <w:highlight w:val="none"/>
        </w:rPr>
        <w:t>九、估价方法 ———————————————————————</w:t>
      </w:r>
      <w:r>
        <w:rPr>
          <w:rFonts w:hint="eastAsia" w:ascii="仿宋_GB2312" w:hAnsi="仿宋" w:eastAsia="仿宋_GB2312"/>
          <w:color w:val="auto"/>
          <w:sz w:val="24"/>
          <w:highlight w:val="none"/>
          <w:lang w:val="en-US" w:eastAsia="zh-CN"/>
        </w:rPr>
        <w:t>12</w:t>
      </w:r>
    </w:p>
    <w:p>
      <w:pPr>
        <w:keepNext w:val="0"/>
        <w:keepLines w:val="0"/>
        <w:pageBreakBefore w:val="0"/>
        <w:widowControl w:val="0"/>
        <w:kinsoku/>
        <w:wordWrap/>
        <w:overflowPunct/>
        <w:topLinePunct w:val="0"/>
        <w:autoSpaceDE/>
        <w:autoSpaceDN/>
        <w:bidi w:val="0"/>
        <w:adjustRightInd/>
        <w:snapToGrid/>
        <w:spacing w:line="520" w:lineRule="exact"/>
        <w:ind w:firstLine="960" w:firstLineChars="400"/>
        <w:textAlignment w:val="auto"/>
        <w:outlineLvl w:val="9"/>
        <w:rPr>
          <w:rFonts w:hint="default" w:ascii="仿宋_GB2312" w:hAnsi="仿宋" w:eastAsia="仿宋_GB2312"/>
          <w:color w:val="auto"/>
          <w:sz w:val="24"/>
          <w:highlight w:val="none"/>
          <w:lang w:val="en-US" w:eastAsia="zh-CN"/>
        </w:rPr>
      </w:pPr>
      <w:r>
        <w:rPr>
          <w:rFonts w:hint="eastAsia" w:ascii="仿宋_GB2312" w:hAnsi="仿宋" w:eastAsia="仿宋_GB2312"/>
          <w:color w:val="auto"/>
          <w:sz w:val="24"/>
          <w:highlight w:val="none"/>
        </w:rPr>
        <w:t>十、估价结果 ———————————————————————</w:t>
      </w:r>
      <w:r>
        <w:rPr>
          <w:rFonts w:hint="eastAsia" w:ascii="仿宋_GB2312" w:hAnsi="仿宋" w:eastAsia="仿宋_GB2312"/>
          <w:color w:val="auto"/>
          <w:sz w:val="24"/>
          <w:highlight w:val="none"/>
          <w:lang w:val="en-US" w:eastAsia="zh-CN"/>
        </w:rPr>
        <w:t>13</w:t>
      </w:r>
    </w:p>
    <w:p>
      <w:pPr>
        <w:keepNext w:val="0"/>
        <w:keepLines w:val="0"/>
        <w:pageBreakBefore w:val="0"/>
        <w:widowControl w:val="0"/>
        <w:kinsoku/>
        <w:wordWrap/>
        <w:overflowPunct/>
        <w:topLinePunct w:val="0"/>
        <w:autoSpaceDE/>
        <w:autoSpaceDN/>
        <w:bidi w:val="0"/>
        <w:adjustRightInd/>
        <w:snapToGrid/>
        <w:spacing w:line="520" w:lineRule="exact"/>
        <w:ind w:firstLine="960" w:firstLineChars="400"/>
        <w:textAlignment w:val="auto"/>
        <w:outlineLvl w:val="9"/>
        <w:rPr>
          <w:rFonts w:hint="default" w:ascii="仿宋_GB2312" w:hAnsi="仿宋" w:eastAsia="仿宋_GB2312"/>
          <w:color w:val="auto"/>
          <w:sz w:val="24"/>
          <w:highlight w:val="none"/>
          <w:lang w:val="en-US" w:eastAsia="zh-CN"/>
        </w:rPr>
      </w:pPr>
      <w:r>
        <w:rPr>
          <w:rFonts w:hint="eastAsia" w:ascii="仿宋_GB2312" w:hAnsi="仿宋" w:eastAsia="仿宋_GB2312"/>
          <w:color w:val="auto"/>
          <w:sz w:val="24"/>
          <w:highlight w:val="none"/>
        </w:rPr>
        <w:t>十一、注册房地产估价师 —————————————————</w:t>
      </w:r>
      <w:r>
        <w:rPr>
          <w:rFonts w:hint="eastAsia" w:ascii="仿宋_GB2312" w:hAnsi="仿宋" w:eastAsia="仿宋_GB2312"/>
          <w:color w:val="auto"/>
          <w:sz w:val="24"/>
          <w:highlight w:val="none"/>
          <w:lang w:val="en-US" w:eastAsia="zh-CN"/>
        </w:rPr>
        <w:t>-14</w:t>
      </w:r>
    </w:p>
    <w:p>
      <w:pPr>
        <w:keepNext w:val="0"/>
        <w:keepLines w:val="0"/>
        <w:pageBreakBefore w:val="0"/>
        <w:widowControl w:val="0"/>
        <w:kinsoku/>
        <w:wordWrap/>
        <w:overflowPunct/>
        <w:topLinePunct w:val="0"/>
        <w:autoSpaceDE/>
        <w:autoSpaceDN/>
        <w:bidi w:val="0"/>
        <w:adjustRightInd/>
        <w:snapToGrid/>
        <w:spacing w:line="520" w:lineRule="exact"/>
        <w:ind w:firstLine="960" w:firstLineChars="400"/>
        <w:textAlignment w:val="auto"/>
        <w:outlineLvl w:val="9"/>
        <w:rPr>
          <w:rFonts w:hint="default" w:ascii="仿宋_GB2312" w:hAnsi="仿宋" w:eastAsia="仿宋_GB2312"/>
          <w:color w:val="auto"/>
          <w:sz w:val="24"/>
          <w:highlight w:val="none"/>
          <w:lang w:val="en-US" w:eastAsia="zh-CN"/>
        </w:rPr>
      </w:pPr>
      <w:r>
        <w:rPr>
          <w:rFonts w:hint="eastAsia" w:ascii="仿宋_GB2312" w:hAnsi="仿宋" w:eastAsia="仿宋_GB2312"/>
          <w:color w:val="auto"/>
          <w:sz w:val="24"/>
          <w:highlight w:val="none"/>
        </w:rPr>
        <w:t>十二、实地查勘期 ————————————————————</w:t>
      </w:r>
      <w:r>
        <w:rPr>
          <w:rFonts w:hint="eastAsia" w:ascii="仿宋_GB2312" w:hAnsi="仿宋" w:eastAsia="仿宋_GB2312"/>
          <w:color w:val="auto"/>
          <w:sz w:val="24"/>
          <w:highlight w:val="none"/>
          <w:lang w:val="en-US" w:eastAsia="zh-CN"/>
        </w:rPr>
        <w:t>-14</w:t>
      </w:r>
    </w:p>
    <w:p>
      <w:pPr>
        <w:keepNext w:val="0"/>
        <w:keepLines w:val="0"/>
        <w:pageBreakBefore w:val="0"/>
        <w:widowControl w:val="0"/>
        <w:kinsoku/>
        <w:wordWrap/>
        <w:overflowPunct/>
        <w:topLinePunct w:val="0"/>
        <w:autoSpaceDE/>
        <w:autoSpaceDN/>
        <w:bidi w:val="0"/>
        <w:adjustRightInd/>
        <w:snapToGrid/>
        <w:spacing w:line="520" w:lineRule="exact"/>
        <w:ind w:firstLine="960" w:firstLineChars="400"/>
        <w:textAlignment w:val="auto"/>
        <w:outlineLvl w:val="9"/>
        <w:rPr>
          <w:rFonts w:hint="default" w:ascii="仿宋_GB2312" w:hAnsi="仿宋" w:eastAsia="仿宋_GB2312"/>
          <w:color w:val="auto"/>
          <w:sz w:val="24"/>
          <w:highlight w:val="none"/>
          <w:lang w:val="en-US" w:eastAsia="zh-CN"/>
        </w:rPr>
      </w:pPr>
      <w:r>
        <w:rPr>
          <w:rFonts w:hint="eastAsia" w:ascii="仿宋_GB2312" w:hAnsi="仿宋" w:eastAsia="仿宋_GB2312"/>
          <w:color w:val="auto"/>
          <w:sz w:val="24"/>
          <w:highlight w:val="none"/>
        </w:rPr>
        <w:t>十三、估价作业期 ————————————————————</w:t>
      </w:r>
      <w:r>
        <w:rPr>
          <w:rFonts w:hint="eastAsia" w:ascii="仿宋_GB2312" w:hAnsi="仿宋" w:eastAsia="仿宋_GB2312"/>
          <w:color w:val="auto"/>
          <w:sz w:val="24"/>
          <w:highlight w:val="none"/>
          <w:lang w:val="en-US" w:eastAsia="zh-CN"/>
        </w:rPr>
        <w:t>-14</w:t>
      </w:r>
    </w:p>
    <w:p>
      <w:pPr>
        <w:keepNext w:val="0"/>
        <w:keepLines w:val="0"/>
        <w:pageBreakBefore w:val="0"/>
        <w:widowControl w:val="0"/>
        <w:kinsoku/>
        <w:wordWrap/>
        <w:overflowPunct/>
        <w:topLinePunct w:val="0"/>
        <w:autoSpaceDE/>
        <w:autoSpaceDN/>
        <w:bidi w:val="0"/>
        <w:adjustRightInd/>
        <w:snapToGrid/>
        <w:spacing w:line="520" w:lineRule="exact"/>
        <w:ind w:firstLine="960" w:firstLineChars="400"/>
        <w:textAlignment w:val="auto"/>
        <w:outlineLvl w:val="9"/>
        <w:rPr>
          <w:rFonts w:hint="default" w:ascii="仿宋_GB2312" w:hAnsi="仿宋" w:eastAsia="仿宋_GB2312"/>
          <w:color w:val="auto"/>
          <w:sz w:val="24"/>
          <w:highlight w:val="none"/>
          <w:lang w:val="en-US" w:eastAsia="zh-CN"/>
        </w:rPr>
      </w:pPr>
      <w:r>
        <w:rPr>
          <w:rFonts w:hint="eastAsia" w:ascii="仿宋_GB2312" w:hAnsi="仿宋" w:eastAsia="仿宋_GB2312"/>
          <w:color w:val="auto"/>
          <w:sz w:val="24"/>
          <w:highlight w:val="none"/>
          <w:lang w:val="en-US" w:eastAsia="zh-CN"/>
        </w:rPr>
        <w:t>十四、估价报告有效期</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lang w:val="en-US" w:eastAsia="zh-CN"/>
        </w:rPr>
        <w:t>14</w:t>
      </w:r>
    </w:p>
    <w:p>
      <w:pPr>
        <w:keepNext w:val="0"/>
        <w:keepLines w:val="0"/>
        <w:pageBreakBefore w:val="0"/>
        <w:widowControl w:val="0"/>
        <w:kinsoku/>
        <w:wordWrap/>
        <w:overflowPunct/>
        <w:topLinePunct w:val="0"/>
        <w:autoSpaceDE/>
        <w:autoSpaceDN/>
        <w:bidi w:val="0"/>
        <w:adjustRightInd/>
        <w:snapToGrid/>
        <w:spacing w:line="520" w:lineRule="exact"/>
        <w:ind w:firstLine="472" w:firstLineChars="196"/>
        <w:textAlignment w:val="auto"/>
        <w:outlineLvl w:val="9"/>
        <w:rPr>
          <w:rFonts w:hint="default" w:ascii="仿宋_GB2312" w:hAnsi="仿宋" w:eastAsia="仿宋_GB2312"/>
          <w:color w:val="auto"/>
          <w:sz w:val="24"/>
          <w:highlight w:val="none"/>
          <w:lang w:val="en-US" w:eastAsia="zh-CN"/>
        </w:rPr>
      </w:pPr>
      <w:r>
        <w:rPr>
          <w:rFonts w:hint="eastAsia" w:ascii="仿宋_GB2312" w:hAnsi="仿宋" w:eastAsia="仿宋_GB2312"/>
          <w:b/>
          <w:color w:val="auto"/>
          <w:sz w:val="24"/>
          <w:highlight w:val="none"/>
        </w:rPr>
        <w:t>◇ 附件</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lang w:val="en-US" w:eastAsia="zh-CN"/>
        </w:rPr>
        <w:t>15</w:t>
      </w:r>
    </w:p>
    <w:p>
      <w:pPr>
        <w:keepNext w:val="0"/>
        <w:keepLines w:val="0"/>
        <w:pageBreakBefore w:val="0"/>
        <w:widowControl w:val="0"/>
        <w:kinsoku/>
        <w:wordWrap/>
        <w:overflowPunct/>
        <w:topLinePunct w:val="0"/>
        <w:autoSpaceDE/>
        <w:autoSpaceDN/>
        <w:bidi w:val="0"/>
        <w:adjustRightInd/>
        <w:snapToGrid/>
        <w:spacing w:line="520" w:lineRule="exact"/>
        <w:textAlignment w:val="auto"/>
        <w:outlineLvl w:val="9"/>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 xml:space="preserve">        一、估价对象位置图</w:t>
      </w:r>
    </w:p>
    <w:p>
      <w:pPr>
        <w:keepNext w:val="0"/>
        <w:keepLines w:val="0"/>
        <w:pageBreakBefore w:val="0"/>
        <w:widowControl w:val="0"/>
        <w:kinsoku/>
        <w:wordWrap/>
        <w:overflowPunct/>
        <w:topLinePunct w:val="0"/>
        <w:autoSpaceDE/>
        <w:autoSpaceDN/>
        <w:bidi w:val="0"/>
        <w:adjustRightInd/>
        <w:snapToGrid/>
        <w:spacing w:line="520" w:lineRule="exact"/>
        <w:ind w:firstLine="960" w:firstLineChars="400"/>
        <w:textAlignment w:val="auto"/>
        <w:outlineLvl w:val="9"/>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二、实地查勘照片</w:t>
      </w:r>
    </w:p>
    <w:p>
      <w:pPr>
        <w:keepNext w:val="0"/>
        <w:keepLines w:val="0"/>
        <w:pageBreakBefore w:val="0"/>
        <w:widowControl w:val="0"/>
        <w:kinsoku/>
        <w:wordWrap/>
        <w:overflowPunct/>
        <w:topLinePunct w:val="0"/>
        <w:autoSpaceDE/>
        <w:autoSpaceDN/>
        <w:bidi w:val="0"/>
        <w:adjustRightInd/>
        <w:snapToGrid/>
        <w:spacing w:line="520" w:lineRule="exact"/>
        <w:textAlignment w:val="auto"/>
        <w:outlineLvl w:val="9"/>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 xml:space="preserve">        三、</w:t>
      </w:r>
      <w:r>
        <w:rPr>
          <w:rFonts w:hint="eastAsia" w:ascii="仿宋_GB2312" w:hAnsi="仿宋" w:eastAsia="仿宋_GB2312"/>
          <w:color w:val="auto"/>
          <w:sz w:val="24"/>
          <w:highlight w:val="none"/>
          <w:lang w:val="en-US" w:eastAsia="zh-CN"/>
        </w:rPr>
        <w:t>委托方提供相关资料</w:t>
      </w:r>
    </w:p>
    <w:p>
      <w:pPr>
        <w:keepNext w:val="0"/>
        <w:keepLines w:val="0"/>
        <w:pageBreakBefore w:val="0"/>
        <w:widowControl w:val="0"/>
        <w:kinsoku/>
        <w:wordWrap/>
        <w:overflowPunct/>
        <w:topLinePunct w:val="0"/>
        <w:autoSpaceDE/>
        <w:autoSpaceDN/>
        <w:bidi w:val="0"/>
        <w:adjustRightInd/>
        <w:snapToGrid/>
        <w:spacing w:line="520" w:lineRule="exact"/>
        <w:ind w:firstLine="960" w:firstLineChars="400"/>
        <w:textAlignment w:val="auto"/>
        <w:outlineLvl w:val="9"/>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四、房地产估价机构营业执照及资质证书复印件</w:t>
      </w:r>
    </w:p>
    <w:p>
      <w:pPr>
        <w:keepNext w:val="0"/>
        <w:keepLines w:val="0"/>
        <w:pageBreakBefore w:val="0"/>
        <w:widowControl w:val="0"/>
        <w:kinsoku/>
        <w:wordWrap/>
        <w:overflowPunct/>
        <w:topLinePunct w:val="0"/>
        <w:autoSpaceDE/>
        <w:autoSpaceDN/>
        <w:bidi w:val="0"/>
        <w:adjustRightInd/>
        <w:snapToGrid/>
        <w:spacing w:line="520" w:lineRule="exact"/>
        <w:ind w:firstLine="960" w:firstLineChars="400"/>
        <w:textAlignment w:val="auto"/>
        <w:outlineLvl w:val="9"/>
        <w:rPr>
          <w:rFonts w:hint="eastAsia" w:ascii="仿宋_GB2312" w:hAnsi="仿宋" w:eastAsia="仿宋_GB2312"/>
          <w:b/>
          <w:bCs/>
          <w:color w:val="auto"/>
          <w:sz w:val="36"/>
          <w:szCs w:val="36"/>
          <w:highlight w:val="none"/>
        </w:rPr>
      </w:pPr>
      <w:r>
        <w:rPr>
          <w:rFonts w:hint="eastAsia" w:ascii="仿宋_GB2312" w:hAnsi="仿宋" w:eastAsia="仿宋_GB2312"/>
          <w:color w:val="auto"/>
          <w:sz w:val="24"/>
          <w:highlight w:val="none"/>
        </w:rPr>
        <w:t>五、注册房地产估价师资格证书复印件</w:t>
      </w:r>
    </w:p>
    <w:p>
      <w:pPr>
        <w:pStyle w:val="2"/>
        <w:numPr>
          <w:ilvl w:val="0"/>
          <w:numId w:val="0"/>
        </w:numPr>
        <w:tabs>
          <w:tab w:val="left" w:pos="1050"/>
        </w:tabs>
        <w:ind w:left="1125"/>
      </w:pPr>
      <w:bookmarkStart w:id="0" w:name="_Toc29983299"/>
      <w:r>
        <w:rPr>
          <w:rFonts w:hint="eastAsia"/>
        </w:rPr>
        <w:t>估价师声明</w:t>
      </w:r>
      <w:bookmarkEnd w:id="0"/>
    </w:p>
    <w:p>
      <w:pPr>
        <w:pStyle w:val="16"/>
        <w:keepNext w:val="0"/>
        <w:keepLines w:val="0"/>
        <w:pageBreakBefore w:val="0"/>
        <w:widowControl w:val="0"/>
        <w:kinsoku/>
        <w:wordWrap/>
        <w:overflowPunct/>
        <w:topLinePunct w:val="0"/>
        <w:autoSpaceDE/>
        <w:autoSpaceDN/>
        <w:bidi w:val="0"/>
        <w:adjustRightInd/>
        <w:snapToGrid/>
        <w:spacing w:line="360" w:lineRule="auto"/>
        <w:ind w:firstLine="441"/>
        <w:textAlignment w:val="auto"/>
        <w:rPr>
          <w:rFonts w:ascii="仿宋_GB2312" w:hAnsi="新宋体" w:eastAsia="仿宋_GB2312"/>
          <w:szCs w:val="24"/>
        </w:rPr>
      </w:pPr>
      <w:r>
        <w:rPr>
          <w:rFonts w:hint="eastAsia" w:ascii="仿宋_GB2312" w:hAnsi="新宋体" w:eastAsia="仿宋_GB2312"/>
          <w:szCs w:val="24"/>
        </w:rPr>
        <w:t>我们郑重声明：</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仿宋_GB2312" w:eastAsia="仿宋_GB2312"/>
          <w:sz w:val="28"/>
        </w:rPr>
      </w:pPr>
      <w:r>
        <w:rPr>
          <w:rFonts w:ascii="仿宋_GB2312" w:eastAsia="仿宋_GB2312"/>
          <w:sz w:val="28"/>
        </w:rPr>
        <w:t>1、</w:t>
      </w:r>
      <w:r>
        <w:rPr>
          <w:rFonts w:hint="eastAsia" w:ascii="仿宋_GB2312" w:eastAsia="仿宋_GB2312"/>
          <w:sz w:val="28"/>
        </w:rPr>
        <w:t>注册房地产估价师在估价报告中对事实的说明是真实的和准确的，没有虚假记载、误导性陈述和重大遗漏；</w:t>
      </w:r>
    </w:p>
    <w:p>
      <w:pPr>
        <w:keepNext w:val="0"/>
        <w:keepLines w:val="0"/>
        <w:pageBreakBefore w:val="0"/>
        <w:widowControl w:val="0"/>
        <w:kinsoku/>
        <w:wordWrap/>
        <w:overflowPunct/>
        <w:topLinePunct w:val="0"/>
        <w:autoSpaceDE/>
        <w:autoSpaceDN/>
        <w:bidi w:val="0"/>
        <w:adjustRightInd/>
        <w:snapToGrid/>
        <w:spacing w:line="360" w:lineRule="auto"/>
        <w:ind w:firstLine="570"/>
        <w:textAlignment w:val="auto"/>
        <w:rPr>
          <w:rFonts w:ascii="仿宋_GB2312" w:eastAsia="仿宋_GB2312"/>
          <w:sz w:val="28"/>
        </w:rPr>
      </w:pPr>
      <w:r>
        <w:rPr>
          <w:rFonts w:hint="eastAsia" w:ascii="仿宋_GB2312" w:eastAsia="仿宋_GB2312"/>
          <w:sz w:val="28"/>
        </w:rPr>
        <w:t>2、估价报告中的</w:t>
      </w:r>
      <w:r>
        <w:rPr>
          <w:rFonts w:ascii="仿宋_GB2312" w:eastAsia="仿宋_GB2312"/>
          <w:sz w:val="28"/>
        </w:rPr>
        <w:t>分析、意见和结论是</w:t>
      </w:r>
      <w:r>
        <w:rPr>
          <w:rFonts w:hint="eastAsia" w:ascii="仿宋_GB2312" w:eastAsia="仿宋_GB2312"/>
          <w:sz w:val="28"/>
        </w:rPr>
        <w:t>注册房地产估价师</w:t>
      </w:r>
      <w:r>
        <w:rPr>
          <w:rFonts w:ascii="仿宋_GB2312" w:eastAsia="仿宋_GB2312"/>
          <w:sz w:val="28"/>
        </w:rPr>
        <w:t>独立、客观、公正的专业分析、意见和结论，但受到估价报告中已说明的</w:t>
      </w:r>
      <w:r>
        <w:rPr>
          <w:rFonts w:hint="eastAsia" w:ascii="仿宋_GB2312" w:eastAsia="仿宋_GB2312"/>
          <w:sz w:val="28"/>
        </w:rPr>
        <w:t>估价</w:t>
      </w:r>
      <w:r>
        <w:rPr>
          <w:rFonts w:ascii="仿宋_GB2312" w:eastAsia="仿宋_GB2312"/>
          <w:sz w:val="28"/>
        </w:rPr>
        <w:t>假设和限制条件的限制</w:t>
      </w:r>
      <w:r>
        <w:rPr>
          <w:rFonts w:hint="eastAsia" w:ascii="仿宋_GB2312" w:eastAsia="仿宋_GB2312"/>
          <w:sz w:val="28"/>
        </w:rPr>
        <w:t>；</w:t>
      </w:r>
    </w:p>
    <w:p>
      <w:pPr>
        <w:keepNext w:val="0"/>
        <w:keepLines w:val="0"/>
        <w:pageBreakBefore w:val="0"/>
        <w:widowControl w:val="0"/>
        <w:kinsoku/>
        <w:wordWrap/>
        <w:overflowPunct/>
        <w:topLinePunct w:val="0"/>
        <w:autoSpaceDE/>
        <w:autoSpaceDN/>
        <w:bidi w:val="0"/>
        <w:adjustRightInd/>
        <w:snapToGrid/>
        <w:spacing w:line="360" w:lineRule="auto"/>
        <w:ind w:firstLine="570"/>
        <w:textAlignment w:val="auto"/>
        <w:rPr>
          <w:rFonts w:ascii="仿宋_GB2312" w:eastAsia="仿宋_GB2312"/>
          <w:sz w:val="28"/>
        </w:rPr>
      </w:pPr>
      <w:r>
        <w:rPr>
          <w:rFonts w:ascii="仿宋_GB2312" w:eastAsia="仿宋_GB2312"/>
          <w:sz w:val="28"/>
        </w:rPr>
        <w:t>3、</w:t>
      </w:r>
      <w:r>
        <w:rPr>
          <w:rFonts w:hint="eastAsia" w:ascii="仿宋_GB2312" w:eastAsia="仿宋_GB2312"/>
          <w:sz w:val="28"/>
        </w:rPr>
        <w:t>注册房地产估价师</w:t>
      </w:r>
      <w:r>
        <w:rPr>
          <w:rFonts w:ascii="仿宋_GB2312" w:eastAsia="仿宋_GB2312"/>
          <w:sz w:val="28"/>
        </w:rPr>
        <w:t>与</w:t>
      </w:r>
      <w:r>
        <w:fldChar w:fldCharType="begin"/>
      </w:r>
      <w:r>
        <w:instrText xml:space="preserve"> HYPERLINK "http://baike.baidu.com/view/404699.htm" \t "_blank" </w:instrText>
      </w:r>
      <w:r>
        <w:fldChar w:fldCharType="separate"/>
      </w:r>
      <w:r>
        <w:rPr>
          <w:rFonts w:ascii="仿宋_GB2312" w:eastAsia="仿宋_GB2312"/>
          <w:sz w:val="28"/>
        </w:rPr>
        <w:t>估价报告</w:t>
      </w:r>
      <w:r>
        <w:rPr>
          <w:rFonts w:ascii="仿宋_GB2312" w:eastAsia="仿宋_GB2312"/>
          <w:sz w:val="28"/>
        </w:rPr>
        <w:fldChar w:fldCharType="end"/>
      </w:r>
      <w:r>
        <w:rPr>
          <w:rFonts w:ascii="仿宋_GB2312" w:eastAsia="仿宋_GB2312"/>
          <w:sz w:val="28"/>
        </w:rPr>
        <w:t>中的</w:t>
      </w:r>
      <w:r>
        <w:fldChar w:fldCharType="begin"/>
      </w:r>
      <w:r>
        <w:instrText xml:space="preserve"> HYPERLINK "http://baike.baidu.com/view/404695.htm" \t "_blank" </w:instrText>
      </w:r>
      <w:r>
        <w:fldChar w:fldCharType="separate"/>
      </w:r>
      <w:r>
        <w:rPr>
          <w:rFonts w:ascii="仿宋_GB2312" w:eastAsia="仿宋_GB2312"/>
          <w:sz w:val="28"/>
        </w:rPr>
        <w:t>估价对象</w:t>
      </w:r>
      <w:r>
        <w:rPr>
          <w:rFonts w:ascii="仿宋_GB2312" w:eastAsia="仿宋_GB2312"/>
          <w:sz w:val="28"/>
        </w:rPr>
        <w:fldChar w:fldCharType="end"/>
      </w:r>
      <w:r>
        <w:rPr>
          <w:rFonts w:ascii="仿宋_GB2312" w:eastAsia="仿宋_GB2312"/>
          <w:sz w:val="28"/>
        </w:rPr>
        <w:t>没有</w:t>
      </w:r>
      <w:r>
        <w:rPr>
          <w:rFonts w:hint="eastAsia" w:ascii="仿宋_GB2312" w:eastAsia="仿宋_GB2312"/>
          <w:sz w:val="28"/>
        </w:rPr>
        <w:t>现实或潜在的利益，与估价委托人及估价</w:t>
      </w:r>
      <w:r>
        <w:rPr>
          <w:rFonts w:ascii="仿宋_GB2312" w:eastAsia="仿宋_GB2312"/>
          <w:sz w:val="28"/>
        </w:rPr>
        <w:t>利害关系</w:t>
      </w:r>
      <w:r>
        <w:rPr>
          <w:rFonts w:hint="eastAsia" w:ascii="仿宋_GB2312" w:eastAsia="仿宋_GB2312"/>
          <w:sz w:val="28"/>
        </w:rPr>
        <w:t>人没有利害关系</w:t>
      </w:r>
      <w:r>
        <w:rPr>
          <w:rFonts w:ascii="仿宋_GB2312" w:eastAsia="仿宋_GB2312"/>
          <w:sz w:val="28"/>
        </w:rPr>
        <w:t>，也</w:t>
      </w:r>
      <w:r>
        <w:rPr>
          <w:rFonts w:hint="eastAsia" w:ascii="仿宋_GB2312" w:eastAsia="仿宋_GB2312"/>
          <w:sz w:val="28"/>
        </w:rPr>
        <w:t>对估价对象、估价委托人及估价</w:t>
      </w:r>
      <w:r>
        <w:rPr>
          <w:rFonts w:ascii="仿宋_GB2312" w:eastAsia="仿宋_GB2312"/>
          <w:sz w:val="28"/>
        </w:rPr>
        <w:t>利害关系</w:t>
      </w:r>
      <w:r>
        <w:rPr>
          <w:rFonts w:hint="eastAsia" w:ascii="仿宋_GB2312" w:eastAsia="仿宋_GB2312"/>
          <w:sz w:val="28"/>
        </w:rPr>
        <w:t>人没有</w:t>
      </w:r>
      <w:r>
        <w:rPr>
          <w:rFonts w:ascii="仿宋_GB2312" w:eastAsia="仿宋_GB2312"/>
          <w:sz w:val="28"/>
        </w:rPr>
        <w:t>偏见</w:t>
      </w:r>
      <w:r>
        <w:rPr>
          <w:rFonts w:hint="eastAsia" w:ascii="仿宋_GB2312" w:eastAsia="仿宋_GB2312"/>
          <w:sz w:val="28"/>
        </w:rPr>
        <w:t>；</w:t>
      </w:r>
    </w:p>
    <w:p>
      <w:pPr>
        <w:keepNext w:val="0"/>
        <w:keepLines w:val="0"/>
        <w:pageBreakBefore w:val="0"/>
        <w:widowControl w:val="0"/>
        <w:kinsoku/>
        <w:wordWrap/>
        <w:overflowPunct/>
        <w:topLinePunct w:val="0"/>
        <w:autoSpaceDE/>
        <w:autoSpaceDN/>
        <w:bidi w:val="0"/>
        <w:adjustRightInd/>
        <w:snapToGrid/>
        <w:spacing w:line="360" w:lineRule="auto"/>
        <w:ind w:firstLine="570"/>
        <w:textAlignment w:val="auto"/>
        <w:rPr>
          <w:rFonts w:ascii="仿宋_GB2312" w:eastAsia="仿宋_GB2312"/>
          <w:sz w:val="28"/>
        </w:rPr>
      </w:pPr>
      <w:r>
        <w:rPr>
          <w:rFonts w:ascii="仿宋_GB2312" w:eastAsia="仿宋_GB2312"/>
          <w:sz w:val="28"/>
        </w:rPr>
        <w:t>4、</w:t>
      </w:r>
      <w:r>
        <w:rPr>
          <w:rFonts w:hint="eastAsia" w:ascii="仿宋_GB2312" w:eastAsia="仿宋_GB2312"/>
          <w:sz w:val="28"/>
        </w:rPr>
        <w:t>注册房地产估价师是依照国家标准《房地产估价规范》（</w:t>
      </w:r>
      <w:r>
        <w:rPr>
          <w:rFonts w:ascii="仿宋_GB2312" w:eastAsia="仿宋_GB2312"/>
          <w:sz w:val="28"/>
        </w:rPr>
        <w:t>GB/T 50291-2015</w:t>
      </w:r>
      <w:r>
        <w:rPr>
          <w:rFonts w:hint="eastAsia" w:ascii="仿宋_GB2312" w:eastAsia="仿宋_GB2312"/>
          <w:sz w:val="28"/>
        </w:rPr>
        <w:t>）、《房地产估价基本术语标准》（</w:t>
      </w:r>
      <w:r>
        <w:rPr>
          <w:rFonts w:ascii="仿宋_GB2312" w:eastAsia="仿宋_GB2312"/>
          <w:sz w:val="28"/>
        </w:rPr>
        <w:t>GB</w:t>
      </w:r>
      <w:r>
        <w:rPr>
          <w:rFonts w:hint="eastAsia" w:ascii="仿宋_GB2312" w:eastAsia="仿宋_GB2312"/>
          <w:sz w:val="28"/>
        </w:rPr>
        <w:t>/</w:t>
      </w:r>
      <w:r>
        <w:rPr>
          <w:rFonts w:ascii="仿宋_GB2312" w:eastAsia="仿宋_GB2312"/>
          <w:sz w:val="28"/>
        </w:rPr>
        <w:t>T50899</w:t>
      </w:r>
      <w:r>
        <w:rPr>
          <w:rFonts w:hint="eastAsia" w:ascii="仿宋_GB2312" w:eastAsia="仿宋_GB2312"/>
          <w:sz w:val="28"/>
        </w:rPr>
        <w:t>-</w:t>
      </w:r>
      <w:r>
        <w:rPr>
          <w:rFonts w:ascii="仿宋_GB2312" w:eastAsia="仿宋_GB2312"/>
          <w:sz w:val="28"/>
        </w:rPr>
        <w:t>2013</w:t>
      </w:r>
      <w:r>
        <w:rPr>
          <w:rFonts w:hint="eastAsia" w:ascii="仿宋_GB2312" w:eastAsia="仿宋_GB2312"/>
          <w:sz w:val="28"/>
        </w:rPr>
        <w:t>）和《房地产抵押估价指导意见》的规定进行估价工作，撰写估价报告；</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仿宋_GB2312" w:hAnsi="新宋体" w:eastAsia="仿宋_GB2312"/>
          <w:sz w:val="28"/>
        </w:rPr>
      </w:pPr>
      <w:r>
        <w:rPr>
          <w:rFonts w:hint="eastAsia" w:ascii="仿宋_GB2312" w:hAnsi="新宋体" w:eastAsia="仿宋_GB2312"/>
          <w:sz w:val="28"/>
        </w:rPr>
        <w:t>5、我们已对本估价报告中的估价对象进行了实地查勘。</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仿宋_GB2312" w:hAnsi="新宋体" w:eastAsia="仿宋_GB2312"/>
          <w:sz w:val="28"/>
        </w:rPr>
      </w:pPr>
      <w:r>
        <w:rPr>
          <w:rFonts w:hint="eastAsia" w:ascii="仿宋_GB2312" w:hAnsi="新宋体" w:eastAsia="仿宋_GB2312"/>
          <w:sz w:val="28"/>
        </w:rPr>
        <w:t>6、没有人对本估价报告提供重要的专业帮助。</w:t>
      </w:r>
    </w:p>
    <w:p>
      <w:pPr>
        <w:keepNext w:val="0"/>
        <w:keepLines w:val="0"/>
        <w:pageBreakBefore w:val="0"/>
        <w:widowControl w:val="0"/>
        <w:tabs>
          <w:tab w:val="left" w:pos="1140"/>
        </w:tabs>
        <w:kinsoku/>
        <w:wordWrap/>
        <w:overflowPunct/>
        <w:topLinePunct w:val="0"/>
        <w:autoSpaceDE/>
        <w:autoSpaceDN/>
        <w:bidi w:val="0"/>
        <w:adjustRightInd/>
        <w:snapToGrid/>
        <w:spacing w:line="600" w:lineRule="exact"/>
        <w:jc w:val="center"/>
        <w:textAlignment w:val="auto"/>
        <w:rPr>
          <w:rFonts w:hint="eastAsia" w:ascii="仿宋_GB2312" w:hAnsi="仿宋" w:eastAsia="仿宋_GB2312"/>
          <w:b/>
          <w:bCs/>
          <w:color w:val="auto"/>
          <w:sz w:val="36"/>
          <w:szCs w:val="36"/>
          <w:highlight w:val="none"/>
        </w:rPr>
      </w:pPr>
    </w:p>
    <w:p>
      <w:pPr>
        <w:tabs>
          <w:tab w:val="left" w:pos="1140"/>
        </w:tabs>
        <w:jc w:val="both"/>
        <w:rPr>
          <w:rFonts w:hint="eastAsia" w:ascii="仿宋_GB2312" w:hAnsi="仿宋" w:eastAsia="仿宋_GB2312"/>
          <w:b/>
          <w:bCs/>
          <w:color w:val="auto"/>
          <w:sz w:val="36"/>
          <w:szCs w:val="36"/>
          <w:highlight w:val="none"/>
        </w:rPr>
      </w:pPr>
    </w:p>
    <w:p>
      <w:pPr>
        <w:tabs>
          <w:tab w:val="left" w:pos="1140"/>
        </w:tabs>
        <w:jc w:val="both"/>
        <w:rPr>
          <w:rFonts w:hint="eastAsia" w:ascii="仿宋_GB2312" w:hAnsi="仿宋" w:eastAsia="仿宋_GB2312"/>
          <w:b/>
          <w:bCs/>
          <w:color w:val="auto"/>
          <w:sz w:val="36"/>
          <w:szCs w:val="36"/>
          <w:highlight w:val="none"/>
        </w:rPr>
      </w:pPr>
    </w:p>
    <w:p>
      <w:pPr>
        <w:jc w:val="center"/>
        <w:rPr>
          <w:rFonts w:hint="eastAsia" w:ascii="仿宋_GB2312" w:hAnsi="仿宋" w:eastAsia="仿宋_GB2312"/>
          <w:b/>
          <w:bCs/>
          <w:color w:val="auto"/>
          <w:sz w:val="36"/>
          <w:szCs w:val="36"/>
          <w:highlight w:val="none"/>
        </w:rPr>
      </w:pPr>
    </w:p>
    <w:p>
      <w:pPr>
        <w:jc w:val="center"/>
        <w:rPr>
          <w:rFonts w:hint="eastAsia" w:ascii="仿宋_GB2312" w:hAnsi="仿宋" w:eastAsia="仿宋_GB2312"/>
          <w:b/>
          <w:bCs/>
          <w:color w:val="auto"/>
          <w:sz w:val="36"/>
          <w:szCs w:val="36"/>
          <w:highlight w:val="none"/>
        </w:rPr>
      </w:pPr>
    </w:p>
    <w:p>
      <w:pPr>
        <w:jc w:val="center"/>
        <w:rPr>
          <w:rFonts w:hint="eastAsia" w:ascii="仿宋_GB2312" w:hAnsi="仿宋" w:eastAsia="仿宋_GB2312"/>
          <w:b/>
          <w:bCs/>
          <w:color w:val="auto"/>
          <w:sz w:val="36"/>
          <w:szCs w:val="36"/>
          <w:highlight w:val="none"/>
        </w:rPr>
      </w:pPr>
    </w:p>
    <w:p>
      <w:pPr>
        <w:keepNext w:val="0"/>
        <w:keepLines w:val="0"/>
        <w:pageBreakBefore/>
        <w:widowControl w:val="0"/>
        <w:kinsoku/>
        <w:wordWrap/>
        <w:overflowPunct/>
        <w:topLinePunct w:val="0"/>
        <w:autoSpaceDE/>
        <w:autoSpaceDN/>
        <w:bidi w:val="0"/>
        <w:adjustRightInd/>
        <w:snapToGrid/>
        <w:jc w:val="center"/>
        <w:textAlignment w:val="auto"/>
        <w:rPr>
          <w:rFonts w:hint="eastAsia" w:ascii="仿宋_GB2312" w:hAnsi="仿宋" w:eastAsia="仿宋_GB2312"/>
          <w:b/>
          <w:bCs/>
          <w:color w:val="auto"/>
          <w:sz w:val="36"/>
          <w:szCs w:val="36"/>
          <w:highlight w:val="none"/>
        </w:rPr>
      </w:pPr>
      <w:r>
        <w:rPr>
          <w:rFonts w:hint="eastAsia" w:ascii="仿宋_GB2312" w:hAnsi="仿宋" w:eastAsia="仿宋_GB2312"/>
          <w:b/>
          <w:bCs/>
          <w:color w:val="auto"/>
          <w:sz w:val="36"/>
          <w:szCs w:val="36"/>
          <w:highlight w:val="none"/>
        </w:rPr>
        <w:t>估价的假设和限制条件</w:t>
      </w:r>
    </w:p>
    <w:p>
      <w:pPr>
        <w:pStyle w:val="4"/>
        <w:keepLines w:val="0"/>
        <w:pageBreakBefore w:val="0"/>
        <w:widowControl w:val="0"/>
        <w:kinsoku/>
        <w:wordWrap/>
        <w:overflowPunct/>
        <w:topLinePunct w:val="0"/>
        <w:autoSpaceDE/>
        <w:autoSpaceDN/>
        <w:bidi w:val="0"/>
        <w:adjustRightInd/>
        <w:snapToGrid/>
        <w:spacing w:line="360" w:lineRule="auto"/>
        <w:ind w:firstLine="420" w:firstLineChars="150"/>
        <w:textAlignment w:val="auto"/>
      </w:pPr>
      <w:bookmarkStart w:id="1" w:name="_Toc29983301"/>
      <w:r>
        <w:rPr>
          <w:rFonts w:hint="eastAsia"/>
        </w:rPr>
        <w:t>（一）本次估价的一般假设</w:t>
      </w:r>
      <w:bookmarkEnd w:id="1"/>
    </w:p>
    <w:p>
      <w:pPr>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仿宋_GB2312" w:hAnsi="新宋体" w:eastAsia="仿宋_GB2312"/>
          <w:sz w:val="28"/>
          <w:szCs w:val="28"/>
        </w:rPr>
      </w:pPr>
      <w:r>
        <w:rPr>
          <w:rFonts w:hint="eastAsia" w:ascii="仿宋_GB2312" w:hAnsi="新宋体" w:eastAsia="仿宋_GB2312"/>
          <w:sz w:val="28"/>
          <w:szCs w:val="28"/>
        </w:rPr>
        <w:t>1、假定价值时点的房地产市场状况是公开、平等、自愿的交易市场。</w:t>
      </w:r>
    </w:p>
    <w:p>
      <w:pPr>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仿宋_GB2312" w:hAnsi="新宋体" w:eastAsia="仿宋_GB2312"/>
          <w:sz w:val="28"/>
          <w:szCs w:val="28"/>
        </w:rPr>
      </w:pPr>
      <w:r>
        <w:rPr>
          <w:rFonts w:hint="eastAsia" w:ascii="仿宋_GB2312" w:hAnsi="新宋体" w:eastAsia="仿宋_GB2312"/>
          <w:sz w:val="28"/>
          <w:szCs w:val="28"/>
        </w:rPr>
        <w:t>2、估价对象产权明晰，手续齐全，可在公开市场上自由转让。</w:t>
      </w:r>
    </w:p>
    <w:p>
      <w:pPr>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仿宋_GB2312" w:hAnsi="新宋体" w:eastAsia="仿宋_GB2312"/>
          <w:sz w:val="28"/>
          <w:szCs w:val="28"/>
        </w:rPr>
      </w:pPr>
      <w:r>
        <w:rPr>
          <w:rFonts w:hint="eastAsia" w:ascii="仿宋_GB2312" w:hAnsi="新宋体" w:eastAsia="仿宋_GB2312"/>
          <w:sz w:val="28"/>
          <w:szCs w:val="28"/>
        </w:rPr>
        <w:t>3、市场供应关系、市场结构保持稳定、未发生重大变化或实质性改变。</w:t>
      </w:r>
    </w:p>
    <w:p>
      <w:pPr>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仿宋_GB2312" w:hAnsi="新宋体" w:eastAsia="仿宋_GB2312"/>
          <w:sz w:val="28"/>
          <w:szCs w:val="28"/>
        </w:rPr>
      </w:pPr>
      <w:r>
        <w:rPr>
          <w:rFonts w:hint="eastAsia" w:ascii="仿宋_GB2312" w:hAnsi="新宋体" w:eastAsia="仿宋_GB2312"/>
          <w:sz w:val="28"/>
          <w:szCs w:val="28"/>
        </w:rPr>
        <w:t>4、</w:t>
      </w:r>
      <w:r>
        <w:rPr>
          <w:rFonts w:hint="eastAsia" w:ascii="仿宋_GB2312" w:eastAsia="仿宋_GB2312"/>
          <w:sz w:val="28"/>
        </w:rPr>
        <w:t>本次估价是以估价对象能够持续使用为假设前提。</w:t>
      </w:r>
    </w:p>
    <w:p>
      <w:pPr>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仿宋_GB2312" w:hAnsi="新宋体" w:eastAsia="仿宋_GB2312"/>
          <w:sz w:val="28"/>
          <w:szCs w:val="28"/>
        </w:rPr>
      </w:pPr>
      <w:r>
        <w:rPr>
          <w:rFonts w:hint="eastAsia" w:ascii="仿宋_GB2312" w:hAnsi="新宋体" w:eastAsia="仿宋_GB2312"/>
          <w:sz w:val="28"/>
          <w:szCs w:val="28"/>
        </w:rPr>
        <w:t>5、我们假设在估价对象土地使用权法定年期内，该物业所有权人对该物业享有自由及不受干预的使用、转让、收益、处分等合法权益。</w:t>
      </w:r>
    </w:p>
    <w:p>
      <w:pPr>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仿宋_GB2312" w:hAnsi="新宋体" w:eastAsia="仿宋_GB2312"/>
          <w:sz w:val="28"/>
          <w:szCs w:val="28"/>
        </w:rPr>
      </w:pPr>
      <w:r>
        <w:rPr>
          <w:rFonts w:hint="eastAsia" w:ascii="仿宋_GB2312" w:hAnsi="新宋体" w:eastAsia="仿宋_GB2312"/>
          <w:sz w:val="28"/>
          <w:szCs w:val="28"/>
        </w:rPr>
        <w:t>6、</w:t>
      </w:r>
      <w:r>
        <w:rPr>
          <w:rFonts w:hint="eastAsia" w:ascii="仿宋_GB2312" w:eastAsia="仿宋_GB2312"/>
          <w:sz w:val="28"/>
        </w:rPr>
        <w:t>我们只对估价对象进行了一般性的查勘，并未接受结构测试的要求，因此不能确定其有无内部缺损，</w:t>
      </w:r>
      <w:r>
        <w:rPr>
          <w:rFonts w:hint="eastAsia" w:ascii="仿宋_GB2312" w:hAnsi="新宋体" w:eastAsia="仿宋_GB2312"/>
          <w:sz w:val="28"/>
          <w:szCs w:val="28"/>
        </w:rPr>
        <w:t>在无理由怀疑估价对象存在安全隐患的情况下，假设其无建筑物基础、房屋结构等方面的重大质量缺陷，房屋质量符合国家有关技术和建筑安全使用标准。本次估价中，设定为估价对象不存在安全隐患，能正常使用情况下之估价结果。</w:t>
      </w:r>
    </w:p>
    <w:p>
      <w:pPr>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新宋体" w:eastAsia="仿宋_GB2312"/>
          <w:sz w:val="28"/>
          <w:szCs w:val="28"/>
        </w:rPr>
      </w:pPr>
      <w:r>
        <w:rPr>
          <w:rFonts w:hint="eastAsia" w:ascii="仿宋_GB2312" w:hAnsi="新宋体" w:eastAsia="仿宋_GB2312"/>
          <w:sz w:val="28"/>
          <w:szCs w:val="28"/>
        </w:rPr>
        <w:t>7、由于估价委托人告知没有租赁权、抵押权、典权等他项权利限制，且注册房地产估价师无法知晓其真实性，故本次估价以估价对象没有他项权利限制为假设前提。</w:t>
      </w:r>
    </w:p>
    <w:p>
      <w:pPr>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新宋体" w:eastAsia="仿宋_GB2312"/>
          <w:sz w:val="28"/>
          <w:szCs w:val="28"/>
          <w:lang w:val="en-US" w:eastAsia="zh-CN"/>
        </w:rPr>
      </w:pPr>
      <w:r>
        <w:rPr>
          <w:rFonts w:hint="eastAsia" w:ascii="仿宋_GB2312" w:hAnsi="新宋体" w:eastAsia="仿宋_GB2312"/>
          <w:sz w:val="28"/>
          <w:szCs w:val="28"/>
          <w:lang w:val="en-US" w:eastAsia="zh-CN"/>
        </w:rPr>
        <w:t>8</w:t>
      </w:r>
      <w:r>
        <w:rPr>
          <w:rFonts w:hint="eastAsia" w:ascii="仿宋_GB2312" w:hAnsi="新宋体" w:eastAsia="仿宋_GB2312"/>
          <w:sz w:val="28"/>
          <w:szCs w:val="28"/>
        </w:rPr>
        <w:t>、估价机构没有对估价对象的建筑面积进行仔细的实地测量的专业服务。注册房地产估价师在实地查勘时对委托方提供的房屋面积进行了一般性核对，这些资料的记载数据与实际情况基本相当，因此假设委托方提供的关于估价对象规模的相关数据均属正</w:t>
      </w:r>
      <w:r>
        <w:rPr>
          <w:rFonts w:hint="eastAsia" w:ascii="仿宋_GB2312" w:hAnsi="新宋体" w:eastAsia="仿宋_GB2312"/>
          <w:sz w:val="28"/>
          <w:szCs w:val="28"/>
          <w:lang w:val="en-US" w:eastAsia="zh-CN"/>
        </w:rPr>
        <w:t>确。</w:t>
      </w:r>
    </w:p>
    <w:p>
      <w:pPr>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仿宋_GB2312" w:hAnsi="新宋体" w:eastAsia="仿宋_GB2312"/>
          <w:sz w:val="28"/>
          <w:szCs w:val="28"/>
        </w:rPr>
      </w:pPr>
      <w:r>
        <w:rPr>
          <w:rFonts w:hint="eastAsia" w:ascii="仿宋_GB2312" w:hAnsi="新宋体" w:eastAsia="仿宋_GB2312"/>
          <w:sz w:val="28"/>
          <w:szCs w:val="28"/>
        </w:rPr>
        <w:t>9、本次估价结果未考虑对估价对象房地产未来处置的相关成本对估价结果的影响。</w:t>
      </w:r>
    </w:p>
    <w:p>
      <w:pPr>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仿宋_GB2312" w:hAnsi="新宋体" w:eastAsia="仿宋_GB2312"/>
          <w:sz w:val="28"/>
          <w:szCs w:val="28"/>
        </w:rPr>
      </w:pPr>
      <w:r>
        <w:rPr>
          <w:rFonts w:hint="eastAsia" w:ascii="仿宋_GB2312" w:hAnsi="新宋体" w:eastAsia="仿宋_GB2312"/>
          <w:sz w:val="28"/>
          <w:szCs w:val="28"/>
        </w:rPr>
        <w:t>10、估价结果未考虑估价对象所有权人已承担的债务、或有债务及经营决策失误及市场运作失当对其房地产价格的影响。</w:t>
      </w:r>
    </w:p>
    <w:p>
      <w:pPr>
        <w:pStyle w:val="4"/>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szCs w:val="28"/>
        </w:rPr>
      </w:pPr>
      <w:bookmarkStart w:id="2" w:name="_Toc29983302"/>
      <w:r>
        <w:rPr>
          <w:rFonts w:hint="eastAsia"/>
        </w:rPr>
        <w:t>（二）未定事项假设</w:t>
      </w:r>
      <w:bookmarkEnd w:id="2"/>
    </w:p>
    <w:p>
      <w:pPr>
        <w:pStyle w:val="4"/>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sz w:val="28"/>
          <w:szCs w:val="28"/>
          <w:lang w:val="en-US" w:eastAsia="zh-CN"/>
        </w:rPr>
      </w:pPr>
      <w:bookmarkStart w:id="3" w:name="_Toc29983303"/>
      <w:r>
        <w:rPr>
          <w:rFonts w:hint="eastAsia"/>
          <w:sz w:val="28"/>
          <w:szCs w:val="28"/>
          <w:lang w:val="en-US" w:eastAsia="zh-CN"/>
        </w:rPr>
        <w:t>根据委托方提供的资料及估价人员现场勘察了解，估价对象为新建农贸市场，尚未办理产权登记手续，本次估价对象建筑面积来源于《房屋平面图》，若与实际不符，本报告将做相应的调整。</w:t>
      </w:r>
    </w:p>
    <w:p>
      <w:pPr>
        <w:pStyle w:val="4"/>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pPr>
      <w:r>
        <w:rPr>
          <w:rFonts w:hint="eastAsia"/>
        </w:rPr>
        <w:t>（三）背离事实假设</w:t>
      </w:r>
      <w:bookmarkEnd w:id="3"/>
    </w:p>
    <w:p>
      <w:pPr>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仿宋_GB2312" w:eastAsia="仿宋_GB2312"/>
          <w:sz w:val="28"/>
          <w:szCs w:val="28"/>
        </w:rPr>
      </w:pPr>
      <w:r>
        <w:rPr>
          <w:rFonts w:hint="eastAsia" w:ascii="仿宋_GB2312" w:eastAsia="仿宋_GB2312"/>
          <w:sz w:val="28"/>
          <w:szCs w:val="28"/>
        </w:rPr>
        <w:t>无背离事实假设。</w:t>
      </w:r>
    </w:p>
    <w:p>
      <w:pPr>
        <w:pStyle w:val="4"/>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pPr>
      <w:bookmarkStart w:id="4" w:name="_Toc29983304"/>
      <w:r>
        <w:rPr>
          <w:rFonts w:hint="eastAsia"/>
        </w:rPr>
        <w:t>（四）不相一致假设</w:t>
      </w:r>
      <w:bookmarkEnd w:id="4"/>
    </w:p>
    <w:p>
      <w:pPr>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仿宋_GB2312" w:hAnsi="新宋体" w:eastAsia="仿宋_GB2312"/>
          <w:sz w:val="28"/>
          <w:szCs w:val="28"/>
        </w:rPr>
      </w:pPr>
      <w:r>
        <w:rPr>
          <w:rFonts w:hint="eastAsia" w:ascii="仿宋_GB2312" w:hAnsi="新宋体" w:eastAsia="仿宋_GB2312"/>
          <w:sz w:val="28"/>
          <w:szCs w:val="28"/>
        </w:rPr>
        <w:t>无不相一致假设。</w:t>
      </w:r>
    </w:p>
    <w:p>
      <w:pPr>
        <w:pStyle w:val="4"/>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highlight w:val="none"/>
        </w:rPr>
      </w:pPr>
      <w:bookmarkStart w:id="5" w:name="_Toc29983305"/>
      <w:r>
        <w:rPr>
          <w:rFonts w:hint="eastAsia"/>
          <w:highlight w:val="none"/>
        </w:rPr>
        <w:t>（五）本报告使用的限制条件</w:t>
      </w:r>
      <w:bookmarkEnd w:id="5"/>
    </w:p>
    <w:p>
      <w:pPr>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仿宋_GB2312" w:hAnsi="新宋体" w:eastAsia="仿宋_GB2312"/>
          <w:sz w:val="28"/>
          <w:szCs w:val="28"/>
          <w:highlight w:val="none"/>
        </w:rPr>
      </w:pPr>
      <w:r>
        <w:rPr>
          <w:rFonts w:hint="eastAsia" w:ascii="仿宋_GB2312" w:hAnsi="新宋体" w:eastAsia="仿宋_GB2312"/>
          <w:sz w:val="28"/>
          <w:szCs w:val="28"/>
          <w:highlight w:val="none"/>
        </w:rPr>
        <w:t>1、本估价报告仅是在委托方拟以估价对象进行整体出租的经济行为前提下做出的，不适合用于其他目的和用途。如果改变估价目的或若用于其他用途对使用者造成的损失，我公司不承担任何责</w:t>
      </w:r>
      <w:r>
        <w:rPr>
          <w:rFonts w:hint="eastAsia" w:ascii="仿宋_GB2312" w:hAnsi="新宋体" w:eastAsia="仿宋_GB2312"/>
          <w:sz w:val="28"/>
          <w:szCs w:val="28"/>
          <w:highlight w:val="none"/>
          <w:lang w:val="en-US" w:eastAsia="zh-CN"/>
        </w:rPr>
        <w:t>任</w:t>
      </w:r>
      <w:r>
        <w:rPr>
          <w:rFonts w:hint="eastAsia" w:ascii="仿宋_GB2312" w:hAnsi="新宋体" w:eastAsia="仿宋_GB2312"/>
          <w:sz w:val="28"/>
          <w:szCs w:val="28"/>
          <w:highlight w:val="none"/>
        </w:rPr>
        <w:t>。</w:t>
      </w:r>
    </w:p>
    <w:p>
      <w:pPr>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仿宋_GB2312" w:hAnsi="新宋体" w:eastAsia="仿宋_GB2312"/>
          <w:sz w:val="28"/>
          <w:szCs w:val="28"/>
        </w:rPr>
      </w:pPr>
      <w:r>
        <w:rPr>
          <w:rFonts w:hint="eastAsia" w:ascii="仿宋_GB2312" w:hAnsi="新宋体" w:eastAsia="仿宋_GB2312"/>
          <w:sz w:val="28"/>
          <w:szCs w:val="28"/>
          <w:lang w:val="en-US" w:eastAsia="zh-CN"/>
        </w:rPr>
        <w:t>2</w:t>
      </w:r>
      <w:r>
        <w:rPr>
          <w:rFonts w:hint="eastAsia" w:ascii="仿宋_GB2312" w:hAnsi="新宋体" w:eastAsia="仿宋_GB2312"/>
          <w:sz w:val="28"/>
          <w:szCs w:val="28"/>
        </w:rPr>
        <w:t>、本报告估价结果是估价对象在价值时点的状况、假设和限制条件下的结论，如估价对象状况或估价假设和限制条件发生变化，则估价结果不予成立。</w:t>
      </w:r>
    </w:p>
    <w:p>
      <w:pPr>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仿宋_GB2312" w:hAnsi="新宋体" w:eastAsia="仿宋_GB2312"/>
          <w:sz w:val="28"/>
          <w:szCs w:val="28"/>
        </w:rPr>
      </w:pPr>
      <w:r>
        <w:rPr>
          <w:rFonts w:hint="eastAsia" w:ascii="仿宋_GB2312" w:hAnsi="新宋体" w:eastAsia="仿宋_GB2312"/>
          <w:sz w:val="28"/>
          <w:szCs w:val="28"/>
          <w:lang w:val="en-US" w:eastAsia="zh-CN"/>
        </w:rPr>
        <w:t>3</w:t>
      </w:r>
      <w:r>
        <w:rPr>
          <w:rFonts w:hint="eastAsia" w:ascii="仿宋_GB2312" w:hAnsi="新宋体" w:eastAsia="仿宋_GB2312"/>
          <w:sz w:val="28"/>
          <w:szCs w:val="28"/>
        </w:rPr>
        <w:t>、本报告估价结果未考虑估价对象可能存在的租赁、查封等因素的影响，也并非是实际经济行为发生时的价格保证。</w:t>
      </w:r>
    </w:p>
    <w:p>
      <w:pPr>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仿宋_GB2312" w:hAnsi="新宋体" w:eastAsia="仿宋_GB2312"/>
          <w:sz w:val="28"/>
          <w:szCs w:val="28"/>
        </w:rPr>
      </w:pPr>
      <w:r>
        <w:rPr>
          <w:rFonts w:hint="eastAsia" w:ascii="仿宋_GB2312" w:hAnsi="新宋体" w:eastAsia="仿宋_GB2312"/>
          <w:sz w:val="28"/>
          <w:szCs w:val="28"/>
          <w:lang w:val="en-US" w:eastAsia="zh-CN"/>
        </w:rPr>
        <w:t>4</w:t>
      </w:r>
      <w:r>
        <w:rPr>
          <w:rFonts w:hint="eastAsia" w:ascii="仿宋_GB2312" w:hAnsi="新宋体" w:eastAsia="仿宋_GB2312"/>
          <w:sz w:val="28"/>
          <w:szCs w:val="28"/>
        </w:rPr>
        <w:t>、本次估价依据了委托方及相关当事人提供的资料，估价人员及估价机构对于本报告的操作程序和采用方法的公允性负责。</w:t>
      </w:r>
    </w:p>
    <w:p>
      <w:pPr>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仿宋_GB2312" w:hAnsi="新宋体" w:eastAsia="仿宋_GB2312"/>
          <w:sz w:val="28"/>
          <w:szCs w:val="28"/>
        </w:rPr>
      </w:pPr>
      <w:r>
        <w:rPr>
          <w:rFonts w:hint="eastAsia" w:ascii="仿宋_GB2312" w:hAnsi="新宋体" w:eastAsia="仿宋_GB2312"/>
          <w:sz w:val="28"/>
          <w:szCs w:val="28"/>
          <w:lang w:val="en-US" w:eastAsia="zh-CN"/>
        </w:rPr>
        <w:t>5</w:t>
      </w:r>
      <w:r>
        <w:rPr>
          <w:rFonts w:hint="eastAsia" w:ascii="仿宋_GB2312" w:hAnsi="新宋体" w:eastAsia="仿宋_GB2312"/>
          <w:sz w:val="28"/>
          <w:szCs w:val="28"/>
        </w:rPr>
        <w:t>、本报告必须完整使用方为有效，对仅使用本报告中部分内容而导致可能的损失，本估价机构不承担责任。</w:t>
      </w:r>
    </w:p>
    <w:p>
      <w:pPr>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仿宋_GB2312" w:hAnsi="新宋体" w:eastAsia="仿宋_GB2312"/>
          <w:sz w:val="28"/>
          <w:szCs w:val="28"/>
        </w:rPr>
      </w:pPr>
      <w:r>
        <w:rPr>
          <w:rFonts w:hint="eastAsia" w:ascii="仿宋_GB2312" w:hAnsi="新宋体" w:eastAsia="仿宋_GB2312"/>
          <w:sz w:val="28"/>
          <w:szCs w:val="28"/>
          <w:lang w:val="en-US" w:eastAsia="zh-CN"/>
        </w:rPr>
        <w:t>6</w:t>
      </w:r>
      <w:r>
        <w:rPr>
          <w:rFonts w:hint="eastAsia" w:ascii="仿宋_GB2312" w:hAnsi="新宋体" w:eastAsia="仿宋_GB2312"/>
          <w:sz w:val="28"/>
          <w:szCs w:val="28"/>
        </w:rPr>
        <w:t>、本报告仅供估价委托人使用，非为法律规定的情况，未经估价机构许可，不得提供给除政府主管部门以外的任何单位和个人，其全部或部分内容不得刊载于任何文件、公告或公开媒体上。</w:t>
      </w:r>
    </w:p>
    <w:p>
      <w:pPr>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仿宋_GB2312" w:hAnsi="新宋体" w:eastAsia="仿宋_GB2312"/>
          <w:sz w:val="28"/>
          <w:szCs w:val="28"/>
        </w:rPr>
      </w:pPr>
      <w:r>
        <w:rPr>
          <w:rFonts w:hint="eastAsia" w:ascii="仿宋_GB2312" w:hAnsi="新宋体" w:eastAsia="仿宋_GB2312"/>
          <w:sz w:val="28"/>
          <w:szCs w:val="28"/>
          <w:lang w:val="en-US" w:eastAsia="zh-CN"/>
        </w:rPr>
        <w:t>7</w:t>
      </w:r>
      <w:r>
        <w:rPr>
          <w:rFonts w:hint="eastAsia" w:ascii="仿宋_GB2312" w:hAnsi="新宋体" w:eastAsia="仿宋_GB2312"/>
          <w:sz w:val="28"/>
          <w:szCs w:val="28"/>
        </w:rPr>
        <w:t>、本报告使用期限自报告出具之日起壹年内有效。当房地产市场价格或房地产政策法规发生重大变化和调整时，应重新评估。</w:t>
      </w:r>
    </w:p>
    <w:p>
      <w:pPr>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_GB2312" w:hAnsi="仿宋" w:eastAsia="仿宋_GB2312"/>
          <w:b/>
          <w:bCs/>
          <w:color w:val="auto"/>
          <w:sz w:val="36"/>
          <w:szCs w:val="36"/>
          <w:highlight w:val="none"/>
        </w:rPr>
      </w:pPr>
      <w:r>
        <w:rPr>
          <w:rFonts w:hint="eastAsia" w:ascii="仿宋_GB2312" w:hAnsi="新宋体" w:eastAsia="仿宋_GB2312"/>
          <w:sz w:val="28"/>
          <w:szCs w:val="28"/>
          <w:lang w:val="en-US" w:eastAsia="zh-CN"/>
        </w:rPr>
        <w:t>8</w:t>
      </w:r>
      <w:r>
        <w:rPr>
          <w:rFonts w:hint="eastAsia" w:ascii="仿宋_GB2312" w:hAnsi="新宋体" w:eastAsia="仿宋_GB2312"/>
          <w:sz w:val="28"/>
          <w:szCs w:val="28"/>
        </w:rPr>
        <w:t>、本估价报告解释权为</w:t>
      </w:r>
      <w:r>
        <w:rPr>
          <w:rFonts w:hint="eastAsia" w:ascii="仿宋_GB2312" w:hAnsi="新宋体" w:eastAsia="仿宋_GB2312"/>
          <w:sz w:val="28"/>
          <w:szCs w:val="28"/>
          <w:lang w:eastAsia="zh-CN"/>
        </w:rPr>
        <w:t>湖北德高房地产资产评估有限公司</w:t>
      </w:r>
      <w:r>
        <w:rPr>
          <w:rFonts w:hint="eastAsia" w:ascii="仿宋_GB2312" w:hAnsi="新宋体" w:eastAsia="仿宋_GB2312"/>
          <w:sz w:val="28"/>
          <w:szCs w:val="28"/>
        </w:rPr>
        <w:t>。</w:t>
      </w:r>
    </w:p>
    <w:p>
      <w:pPr>
        <w:keepNext w:val="0"/>
        <w:keepLines w:val="0"/>
        <w:pageBreakBefore/>
        <w:widowControl w:val="0"/>
        <w:kinsoku/>
        <w:wordWrap/>
        <w:overflowPunct/>
        <w:topLinePunct w:val="0"/>
        <w:autoSpaceDE/>
        <w:autoSpaceDN/>
        <w:bidi w:val="0"/>
        <w:adjustRightInd/>
        <w:snapToGrid/>
        <w:ind w:firstLine="3253" w:firstLineChars="900"/>
        <w:jc w:val="both"/>
        <w:textAlignment w:val="auto"/>
        <w:rPr>
          <w:rFonts w:hint="eastAsia" w:ascii="仿宋_GB2312" w:hAnsi="仿宋" w:eastAsia="仿宋_GB2312"/>
          <w:b/>
          <w:bCs/>
          <w:color w:val="auto"/>
          <w:sz w:val="36"/>
          <w:szCs w:val="36"/>
          <w:highlight w:val="none"/>
        </w:rPr>
      </w:pPr>
      <w:r>
        <w:rPr>
          <w:rFonts w:hint="eastAsia" w:ascii="仿宋_GB2312" w:hAnsi="仿宋" w:eastAsia="仿宋_GB2312"/>
          <w:b/>
          <w:bCs/>
          <w:color w:val="auto"/>
          <w:sz w:val="36"/>
          <w:szCs w:val="36"/>
          <w:highlight w:val="none"/>
        </w:rPr>
        <w:t>估价结果报告</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_GB2312" w:hAnsi="仿宋" w:eastAsia="仿宋_GB2312"/>
          <w:b/>
          <w:bCs/>
          <w:color w:val="auto"/>
          <w:sz w:val="28"/>
          <w:szCs w:val="28"/>
          <w:highlight w:val="none"/>
        </w:rPr>
      </w:pPr>
      <w:r>
        <w:rPr>
          <w:rFonts w:hint="eastAsia" w:ascii="仿宋_GB2312" w:hAnsi="仿宋" w:eastAsia="仿宋_GB2312"/>
          <w:b/>
          <w:bCs/>
          <w:color w:val="auto"/>
          <w:sz w:val="28"/>
          <w:szCs w:val="28"/>
          <w:highlight w:val="none"/>
        </w:rPr>
        <w:t>一、估价委托人</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 w:eastAsia="仿宋_GB2312"/>
          <w:color w:val="auto"/>
          <w:sz w:val="28"/>
          <w:szCs w:val="28"/>
          <w:highlight w:val="none"/>
          <w:lang w:eastAsia="zh-CN"/>
        </w:rPr>
      </w:pPr>
      <w:r>
        <w:rPr>
          <w:rFonts w:hint="eastAsia" w:ascii="仿宋_GB2312" w:hAnsi="仿宋" w:eastAsia="仿宋_GB2312"/>
          <w:color w:val="auto"/>
          <w:sz w:val="28"/>
          <w:szCs w:val="28"/>
          <w:highlight w:val="none"/>
          <w:lang w:val="en-US" w:eastAsia="zh-CN"/>
        </w:rPr>
        <w:t>竹山县兴竹国有资产管理有限公司</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仿宋_GB2312" w:hAnsi="仿宋" w:eastAsia="仿宋_GB2312"/>
          <w:color w:val="auto"/>
          <w:sz w:val="28"/>
          <w:szCs w:val="28"/>
          <w:highlight w:val="none"/>
          <w:lang w:val="en-US" w:eastAsia="zh-CN"/>
        </w:rPr>
      </w:pPr>
      <w:r>
        <w:rPr>
          <w:rFonts w:hint="eastAsia" w:ascii="仿宋_GB2312" w:hAnsi="仿宋" w:eastAsia="仿宋_GB2312"/>
          <w:color w:val="auto"/>
          <w:sz w:val="28"/>
          <w:szCs w:val="28"/>
          <w:highlight w:val="none"/>
          <w:lang w:val="en-US" w:eastAsia="zh-CN"/>
        </w:rPr>
        <w:t>单位地址：竹山县城关镇人民路20号</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_GB2312" w:hAnsi="仿宋" w:eastAsia="仿宋_GB2312"/>
          <w:b/>
          <w:bCs/>
          <w:color w:val="auto"/>
          <w:sz w:val="28"/>
          <w:szCs w:val="28"/>
          <w:highlight w:val="none"/>
        </w:rPr>
      </w:pPr>
      <w:r>
        <w:rPr>
          <w:rFonts w:hint="eastAsia" w:ascii="仿宋_GB2312" w:hAnsi="仿宋" w:eastAsia="仿宋_GB2312"/>
          <w:b/>
          <w:bCs/>
          <w:color w:val="auto"/>
          <w:sz w:val="28"/>
          <w:szCs w:val="28"/>
          <w:highlight w:val="none"/>
        </w:rPr>
        <w:t>二、房地产估价机构</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 w:eastAsia="仿宋_GB2312"/>
          <w:color w:val="auto"/>
          <w:sz w:val="28"/>
          <w:szCs w:val="28"/>
          <w:highlight w:val="none"/>
          <w:lang w:val="en-US" w:eastAsia="zh-CN"/>
        </w:rPr>
      </w:pPr>
      <w:bookmarkStart w:id="6" w:name="_Toc11535"/>
      <w:bookmarkStart w:id="7" w:name="_Toc26370"/>
      <w:r>
        <w:rPr>
          <w:rFonts w:hint="eastAsia" w:ascii="仿宋_GB2312" w:hAnsi="仿宋" w:eastAsia="仿宋_GB2312"/>
          <w:color w:val="auto"/>
          <w:sz w:val="28"/>
          <w:szCs w:val="28"/>
          <w:highlight w:val="none"/>
          <w:lang w:val="en-US" w:eastAsia="zh-CN"/>
        </w:rPr>
        <w:t>湖北德高房地产资产评估有限公司</w:t>
      </w:r>
      <w:bookmarkEnd w:id="6"/>
      <w:bookmarkEnd w:id="7"/>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 w:eastAsia="仿宋_GB2312"/>
          <w:color w:val="auto"/>
          <w:sz w:val="28"/>
          <w:szCs w:val="28"/>
          <w:highlight w:val="none"/>
          <w:lang w:val="en-US" w:eastAsia="zh-CN"/>
        </w:rPr>
      </w:pPr>
      <w:bookmarkStart w:id="8" w:name="_Toc12882"/>
      <w:bookmarkStart w:id="9" w:name="_Toc26672"/>
      <w:r>
        <w:rPr>
          <w:rFonts w:hint="eastAsia" w:ascii="仿宋_GB2312" w:hAnsi="仿宋" w:eastAsia="仿宋_GB2312"/>
          <w:color w:val="auto"/>
          <w:sz w:val="28"/>
          <w:szCs w:val="28"/>
          <w:highlight w:val="none"/>
          <w:lang w:val="en-US" w:eastAsia="zh-CN"/>
        </w:rPr>
        <w:t>统一社会信用代码：91420300773946455K</w:t>
      </w:r>
      <w:bookmarkEnd w:id="8"/>
      <w:bookmarkEnd w:id="9"/>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仿宋_GB2312" w:hAnsi="仿宋" w:eastAsia="仿宋_GB2312"/>
          <w:color w:val="auto"/>
          <w:sz w:val="28"/>
          <w:szCs w:val="28"/>
          <w:highlight w:val="none"/>
          <w:lang w:val="en-US" w:eastAsia="zh-CN"/>
        </w:rPr>
      </w:pPr>
      <w:bookmarkStart w:id="10" w:name="_Toc20745"/>
      <w:bookmarkStart w:id="11" w:name="_Toc15442"/>
      <w:r>
        <w:rPr>
          <w:rFonts w:hint="eastAsia" w:ascii="仿宋_GB2312" w:hAnsi="仿宋" w:eastAsia="仿宋_GB2312"/>
          <w:color w:val="auto"/>
          <w:sz w:val="28"/>
          <w:szCs w:val="28"/>
          <w:highlight w:val="none"/>
          <w:lang w:val="en-US" w:eastAsia="zh-CN"/>
        </w:rPr>
        <w:t>单位地址：</w:t>
      </w:r>
      <w:bookmarkEnd w:id="10"/>
      <w:bookmarkEnd w:id="11"/>
      <w:r>
        <w:rPr>
          <w:rFonts w:hint="eastAsia" w:ascii="仿宋_GB2312" w:hAnsi="仿宋" w:eastAsia="仿宋_GB2312"/>
          <w:color w:val="auto"/>
          <w:sz w:val="28"/>
          <w:szCs w:val="28"/>
          <w:highlight w:val="none"/>
          <w:lang w:val="en-US" w:eastAsia="zh-CN"/>
        </w:rPr>
        <w:t>湖北省十堰市茅箭区东城经济技术开发区天津路35号1幢22-4</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 w:eastAsia="仿宋_GB2312"/>
          <w:color w:val="auto"/>
          <w:sz w:val="28"/>
          <w:szCs w:val="28"/>
          <w:highlight w:val="none"/>
          <w:lang w:val="en-US" w:eastAsia="zh-CN"/>
        </w:rPr>
      </w:pPr>
      <w:bookmarkStart w:id="12" w:name="_Toc18895"/>
      <w:bookmarkStart w:id="13" w:name="_Toc24865"/>
      <w:r>
        <w:rPr>
          <w:rFonts w:hint="eastAsia" w:ascii="仿宋_GB2312" w:hAnsi="仿宋" w:eastAsia="仿宋_GB2312"/>
          <w:color w:val="auto"/>
          <w:sz w:val="28"/>
          <w:szCs w:val="28"/>
          <w:highlight w:val="none"/>
          <w:lang w:val="en-US" w:eastAsia="zh-CN"/>
        </w:rPr>
        <w:t>房地产评估资质证书编号：十房估备证字2021第005号</w:t>
      </w:r>
      <w:bookmarkEnd w:id="12"/>
      <w:bookmarkEnd w:id="13"/>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 w:eastAsia="仿宋_GB2312"/>
          <w:color w:val="auto"/>
          <w:sz w:val="28"/>
          <w:szCs w:val="28"/>
          <w:highlight w:val="none"/>
          <w:lang w:val="en-US" w:eastAsia="zh-CN"/>
        </w:rPr>
      </w:pPr>
      <w:bookmarkStart w:id="14" w:name="_Toc29787"/>
      <w:bookmarkStart w:id="15" w:name="_Toc24972"/>
      <w:r>
        <w:rPr>
          <w:rFonts w:hint="eastAsia" w:ascii="仿宋_GB2312" w:hAnsi="仿宋" w:eastAsia="仿宋_GB2312"/>
          <w:color w:val="auto"/>
          <w:sz w:val="28"/>
          <w:szCs w:val="28"/>
          <w:highlight w:val="none"/>
          <w:lang w:val="en-US" w:eastAsia="zh-CN"/>
        </w:rPr>
        <w:t>房地产评估资格等级：国家贰级</w:t>
      </w:r>
      <w:bookmarkEnd w:id="14"/>
      <w:bookmarkEnd w:id="15"/>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 w:eastAsia="仿宋_GB2312"/>
          <w:color w:val="auto"/>
          <w:sz w:val="28"/>
          <w:szCs w:val="28"/>
          <w:highlight w:val="none"/>
          <w:lang w:val="en-US" w:eastAsia="zh-CN"/>
        </w:rPr>
      </w:pPr>
      <w:bookmarkStart w:id="16" w:name="_Toc27040"/>
      <w:bookmarkStart w:id="17" w:name="_Toc11743"/>
      <w:r>
        <w:rPr>
          <w:rFonts w:hint="eastAsia" w:ascii="仿宋_GB2312" w:hAnsi="仿宋" w:eastAsia="仿宋_GB2312"/>
          <w:color w:val="auto"/>
          <w:sz w:val="28"/>
          <w:szCs w:val="28"/>
          <w:highlight w:val="none"/>
          <w:lang w:val="en-US" w:eastAsia="zh-CN"/>
        </w:rPr>
        <w:t>土地评估注册证书注册号：2022420007</w:t>
      </w:r>
      <w:bookmarkEnd w:id="16"/>
      <w:bookmarkEnd w:id="17"/>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 w:eastAsia="仿宋_GB2312"/>
          <w:color w:val="auto"/>
          <w:sz w:val="28"/>
          <w:szCs w:val="28"/>
          <w:highlight w:val="none"/>
          <w:lang w:val="en-US" w:eastAsia="zh-CN"/>
        </w:rPr>
      </w:pPr>
      <w:bookmarkStart w:id="18" w:name="_Toc285"/>
      <w:bookmarkStart w:id="19" w:name="_Toc8521"/>
      <w:r>
        <w:rPr>
          <w:rFonts w:hint="eastAsia" w:ascii="仿宋_GB2312" w:hAnsi="仿宋" w:eastAsia="仿宋_GB2312"/>
          <w:color w:val="auto"/>
          <w:sz w:val="28"/>
          <w:szCs w:val="28"/>
          <w:highlight w:val="none"/>
          <w:lang w:val="en-US" w:eastAsia="zh-CN"/>
        </w:rPr>
        <w:t>土地评估执业范围：全国</w:t>
      </w:r>
      <w:bookmarkEnd w:id="18"/>
      <w:bookmarkEnd w:id="19"/>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 w:eastAsia="仿宋_GB2312"/>
          <w:color w:val="auto"/>
          <w:sz w:val="28"/>
          <w:szCs w:val="28"/>
          <w:highlight w:val="none"/>
          <w:lang w:val="en-US" w:eastAsia="zh-CN"/>
        </w:rPr>
      </w:pPr>
      <w:bookmarkStart w:id="20" w:name="_Toc15347"/>
      <w:bookmarkStart w:id="21" w:name="_Toc4434"/>
      <w:r>
        <w:rPr>
          <w:rFonts w:hint="eastAsia" w:ascii="仿宋_GB2312" w:hAnsi="仿宋" w:eastAsia="仿宋_GB2312"/>
          <w:color w:val="auto"/>
          <w:sz w:val="28"/>
          <w:szCs w:val="28"/>
          <w:highlight w:val="none"/>
          <w:lang w:val="en-US" w:eastAsia="zh-CN"/>
        </w:rPr>
        <w:t>联系电话：（0719）8663386   8663396</w:t>
      </w:r>
      <w:bookmarkEnd w:id="20"/>
      <w:bookmarkEnd w:id="21"/>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_GB2312" w:hAnsi="仿宋" w:eastAsia="仿宋_GB2312"/>
          <w:b/>
          <w:bCs/>
          <w:color w:val="auto"/>
          <w:sz w:val="28"/>
          <w:szCs w:val="28"/>
          <w:highlight w:val="none"/>
        </w:rPr>
      </w:pPr>
      <w:r>
        <w:rPr>
          <w:rFonts w:hint="eastAsia" w:ascii="仿宋_GB2312" w:hAnsi="仿宋" w:eastAsia="仿宋_GB2312"/>
          <w:b/>
          <w:bCs/>
          <w:color w:val="auto"/>
          <w:sz w:val="28"/>
          <w:szCs w:val="28"/>
          <w:highlight w:val="none"/>
        </w:rPr>
        <w:t>三、估价目的</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eastAsia="仿宋_GB2312"/>
          <w:color w:val="auto"/>
          <w:sz w:val="28"/>
          <w:szCs w:val="28"/>
          <w:highlight w:val="none"/>
          <w:u w:val="none"/>
          <w:lang w:val="en-US" w:eastAsia="zh-CN"/>
        </w:rPr>
      </w:pPr>
      <w:r>
        <w:rPr>
          <w:rFonts w:hint="eastAsia" w:ascii="仿宋_GB2312" w:eastAsia="仿宋_GB2312"/>
          <w:color w:val="auto"/>
          <w:sz w:val="28"/>
          <w:szCs w:val="28"/>
          <w:highlight w:val="none"/>
          <w:u w:val="none"/>
          <w:lang w:val="en-US" w:eastAsia="zh-CN"/>
        </w:rPr>
        <w:t>为委托人拟出租房地产提供市场租赁价格参考依据而评估房地产市场租赁价格。</w:t>
      </w:r>
    </w:p>
    <w:p>
      <w:pPr>
        <w:keepNext w:val="0"/>
        <w:keepLines w:val="0"/>
        <w:pageBreakBefore w:val="0"/>
        <w:widowControl w:val="0"/>
        <w:kinsoku/>
        <w:wordWrap/>
        <w:overflowPunct/>
        <w:topLinePunct w:val="0"/>
        <w:autoSpaceDE/>
        <w:autoSpaceDN/>
        <w:bidi w:val="0"/>
        <w:adjustRightInd/>
        <w:snapToGrid/>
        <w:spacing w:line="360" w:lineRule="auto"/>
        <w:ind w:left="559" w:leftChars="266" w:firstLine="0" w:firstLineChars="0"/>
        <w:textAlignment w:val="auto"/>
        <w:rPr>
          <w:rFonts w:hint="eastAsia" w:ascii="仿宋_GB2312" w:hAnsi="仿宋" w:eastAsia="仿宋_GB2312"/>
          <w:b/>
          <w:bCs/>
          <w:color w:val="auto"/>
          <w:sz w:val="28"/>
          <w:szCs w:val="28"/>
          <w:highlight w:val="none"/>
        </w:rPr>
      </w:pPr>
      <w:r>
        <w:rPr>
          <w:rFonts w:hint="eastAsia" w:ascii="仿宋_GB2312" w:hAnsi="仿宋" w:eastAsia="仿宋_GB2312"/>
          <w:b/>
          <w:bCs/>
          <w:color w:val="auto"/>
          <w:sz w:val="28"/>
          <w:szCs w:val="28"/>
          <w:highlight w:val="none"/>
        </w:rPr>
        <w:t>四、估价对象</w:t>
      </w:r>
    </w:p>
    <w:p>
      <w:pPr>
        <w:keepNext w:val="0"/>
        <w:keepLines w:val="0"/>
        <w:pageBreakBefore w:val="0"/>
        <w:widowControl w:val="0"/>
        <w:kinsoku/>
        <w:wordWrap/>
        <w:overflowPunct/>
        <w:topLinePunct w:val="0"/>
        <w:autoSpaceDE/>
        <w:autoSpaceDN/>
        <w:bidi w:val="0"/>
        <w:adjustRightInd/>
        <w:spacing w:line="360" w:lineRule="auto"/>
        <w:ind w:firstLine="560" w:firstLineChars="200"/>
        <w:textAlignment w:val="auto"/>
        <w:rPr>
          <w:rFonts w:hint="eastAsia" w:ascii="仿宋_GB2312" w:hAnsi="新宋体" w:eastAsia="仿宋_GB2312"/>
          <w:bCs/>
          <w:sz w:val="28"/>
          <w:lang w:eastAsia="zh-CN"/>
        </w:rPr>
      </w:pPr>
      <w:r>
        <w:rPr>
          <w:rFonts w:hint="eastAsia" w:ascii="仿宋_GB2312" w:hAnsi="新宋体" w:eastAsia="仿宋_GB2312"/>
          <w:bCs/>
          <w:sz w:val="28"/>
          <w:lang w:eastAsia="zh-CN"/>
        </w:rPr>
        <w:t>依据估价双方签订的估价委托合同及其所提供的相关资料，本次评估的估价对象位于</w:t>
      </w:r>
      <w:r>
        <w:rPr>
          <w:rFonts w:hint="eastAsia" w:ascii="仿宋_GB2312" w:hAnsi="仿宋" w:eastAsia="仿宋_GB2312"/>
          <w:color w:val="auto"/>
          <w:sz w:val="28"/>
          <w:szCs w:val="28"/>
          <w:highlight w:val="none"/>
          <w:lang w:eastAsia="zh-CN"/>
        </w:rPr>
        <w:t>竹山县城关镇东门街（东门市场）</w:t>
      </w:r>
      <w:r>
        <w:rPr>
          <w:rFonts w:hint="eastAsia" w:ascii="仿宋_GB2312" w:hAnsi="新宋体" w:eastAsia="仿宋_GB2312"/>
          <w:bCs/>
          <w:sz w:val="28"/>
          <w:lang w:eastAsia="zh-CN"/>
        </w:rPr>
        <w:t>，</w:t>
      </w:r>
      <w:r>
        <w:rPr>
          <w:rFonts w:hint="eastAsia" w:ascii="仿宋_GB2312" w:hAnsi="新宋体" w:eastAsia="仿宋_GB2312"/>
          <w:bCs/>
          <w:sz w:val="28"/>
          <w:lang w:val="en-US" w:eastAsia="zh-CN"/>
        </w:rPr>
        <w:t>拟出租范围为1层的3间门面用房，建筑面积合计为76.92</w:t>
      </w:r>
      <w:r>
        <w:rPr>
          <w:rFonts w:hint="eastAsia" w:ascii="仿宋_GB2312" w:hAnsi="新宋体" w:eastAsia="仿宋_GB2312"/>
          <w:bCs/>
          <w:sz w:val="28"/>
          <w:lang w:eastAsia="zh-CN"/>
        </w:rPr>
        <w:t>平方米，本次估价设定土地使用权类型为国有出让条件下，该房地产于价值时点2024年4月25日的客观年租金价格。</w:t>
      </w:r>
    </w:p>
    <w:p>
      <w:pPr>
        <w:keepNext w:val="0"/>
        <w:keepLines w:val="0"/>
        <w:pageBreakBefore w:val="0"/>
        <w:widowControl w:val="0"/>
        <w:kinsoku/>
        <w:wordWrap/>
        <w:overflowPunct/>
        <w:topLinePunct w:val="0"/>
        <w:autoSpaceDE/>
        <w:autoSpaceDN/>
        <w:bidi w:val="0"/>
        <w:adjustRightInd/>
        <w:spacing w:line="360" w:lineRule="auto"/>
        <w:ind w:firstLine="562" w:firstLineChars="200"/>
        <w:textAlignment w:val="auto"/>
        <w:rPr>
          <w:rFonts w:ascii="仿宋_GB2312" w:hAnsi="新宋体" w:eastAsia="仿宋_GB2312"/>
          <w:b/>
          <w:bCs/>
          <w:sz w:val="28"/>
        </w:rPr>
      </w:pPr>
      <w:r>
        <w:rPr>
          <w:rFonts w:hint="eastAsia" w:ascii="仿宋_GB2312" w:hAnsi="新宋体" w:eastAsia="仿宋_GB2312"/>
          <w:b/>
          <w:bCs/>
          <w:sz w:val="28"/>
        </w:rPr>
        <w:t>1、估价对象区位状况</w:t>
      </w:r>
    </w:p>
    <w:p>
      <w:pPr>
        <w:keepNext w:val="0"/>
        <w:keepLines w:val="0"/>
        <w:pageBreakBefore w:val="0"/>
        <w:widowControl w:val="0"/>
        <w:kinsoku/>
        <w:wordWrap/>
        <w:overflowPunct/>
        <w:topLinePunct w:val="0"/>
        <w:autoSpaceDE/>
        <w:autoSpaceDN/>
        <w:bidi w:val="0"/>
        <w:adjustRightInd/>
        <w:spacing w:line="360" w:lineRule="auto"/>
        <w:ind w:firstLine="561"/>
        <w:textAlignment w:val="auto"/>
        <w:rPr>
          <w:rFonts w:ascii="仿宋_GB2312" w:hAnsi="新宋体" w:eastAsia="仿宋_GB2312"/>
          <w:bCs/>
          <w:sz w:val="28"/>
        </w:rPr>
      </w:pPr>
      <w:r>
        <w:rPr>
          <w:rFonts w:hint="eastAsia" w:ascii="仿宋_GB2312" w:hAnsi="新宋体" w:eastAsia="仿宋_GB2312"/>
          <w:bCs/>
          <w:sz w:val="28"/>
        </w:rPr>
        <w:t>（1）宏观区位状况</w:t>
      </w:r>
    </w:p>
    <w:p>
      <w:pPr>
        <w:pStyle w:val="8"/>
        <w:keepNext w:val="0"/>
        <w:keepLines w:val="0"/>
        <w:pageBreakBefore w:val="0"/>
        <w:widowControl w:val="0"/>
        <w:suppressAutoHyphens/>
        <w:kinsoku/>
        <w:wordWrap/>
        <w:overflowPunct/>
        <w:topLinePunct w:val="0"/>
        <w:autoSpaceDE/>
        <w:autoSpaceDN/>
        <w:bidi w:val="0"/>
        <w:adjustRightInd/>
        <w:snapToGrid w:val="0"/>
        <w:spacing w:line="360" w:lineRule="auto"/>
        <w:ind w:firstLine="560" w:firstLineChars="200"/>
        <w:textAlignment w:val="auto"/>
        <w:rPr>
          <w:rFonts w:ascii="仿宋_GB2312" w:hAnsi="Times New Roman" w:eastAsia="仿宋_GB2312"/>
          <w:color w:val="000000"/>
          <w:sz w:val="28"/>
          <w:szCs w:val="28"/>
        </w:rPr>
      </w:pPr>
      <w:r>
        <w:rPr>
          <w:rFonts w:ascii="仿宋_GB2312" w:hAnsi="Times New Roman" w:eastAsia="仿宋_GB2312"/>
          <w:color w:val="000000"/>
          <w:sz w:val="28"/>
          <w:szCs w:val="28"/>
        </w:rPr>
        <w:t>竹山县，古称“</w:t>
      </w:r>
      <w:r>
        <w:fldChar w:fldCharType="begin"/>
      </w:r>
      <w:r>
        <w:instrText xml:space="preserve"> HYPERLINK "https://baike.baidu.com/item/%E4%B8%8A%E5%BA%B8%E5%8E%BF/5171267" \t "_blank" </w:instrText>
      </w:r>
      <w:r>
        <w:fldChar w:fldCharType="separate"/>
      </w:r>
      <w:r>
        <w:rPr>
          <w:rFonts w:ascii="仿宋_GB2312" w:hAnsi="Times New Roman" w:eastAsia="仿宋_GB2312"/>
          <w:color w:val="000000"/>
          <w:sz w:val="28"/>
          <w:szCs w:val="28"/>
        </w:rPr>
        <w:t>上庸县</w:t>
      </w:r>
      <w:r>
        <w:rPr>
          <w:rFonts w:ascii="仿宋_GB2312" w:hAnsi="Times New Roman" w:eastAsia="仿宋_GB2312"/>
          <w:color w:val="000000"/>
          <w:sz w:val="28"/>
          <w:szCs w:val="28"/>
        </w:rPr>
        <w:fldChar w:fldCharType="end"/>
      </w:r>
      <w:r>
        <w:rPr>
          <w:rFonts w:ascii="仿宋_GB2312" w:hAnsi="Times New Roman" w:eastAsia="仿宋_GB2312"/>
          <w:color w:val="000000"/>
          <w:sz w:val="28"/>
          <w:szCs w:val="28"/>
        </w:rPr>
        <w:t>”，隶属湖北省</w:t>
      </w:r>
      <w:r>
        <w:fldChar w:fldCharType="begin"/>
      </w:r>
      <w:r>
        <w:instrText xml:space="preserve"> HYPERLINK "https://baike.baidu.com/item/%E5%8D%81%E5%A0%B0%E5%B8%82" \t "_blank" </w:instrText>
      </w:r>
      <w:r>
        <w:fldChar w:fldCharType="separate"/>
      </w:r>
      <w:r>
        <w:rPr>
          <w:rFonts w:ascii="仿宋_GB2312" w:hAnsi="Times New Roman" w:eastAsia="仿宋_GB2312"/>
          <w:color w:val="000000"/>
          <w:sz w:val="28"/>
          <w:szCs w:val="28"/>
        </w:rPr>
        <w:t>十堰市</w:t>
      </w:r>
      <w:r>
        <w:rPr>
          <w:rFonts w:ascii="仿宋_GB2312" w:hAnsi="Times New Roman" w:eastAsia="仿宋_GB2312"/>
          <w:color w:val="000000"/>
          <w:sz w:val="28"/>
          <w:szCs w:val="28"/>
        </w:rPr>
        <w:fldChar w:fldCharType="end"/>
      </w:r>
      <w:r>
        <w:rPr>
          <w:rFonts w:ascii="仿宋_GB2312" w:hAnsi="Times New Roman" w:eastAsia="仿宋_GB2312"/>
          <w:color w:val="000000"/>
          <w:sz w:val="28"/>
          <w:szCs w:val="28"/>
        </w:rPr>
        <w:t>。位于湖北西北</w:t>
      </w:r>
      <w:r>
        <w:fldChar w:fldCharType="begin"/>
      </w:r>
      <w:r>
        <w:instrText xml:space="preserve"> HYPERLINK "https://baike.baidu.com/item/%E7%A7%A6%E5%B7%B4%E5%B1%B1%E5%8C%BA/6923804" \t "_blank" </w:instrText>
      </w:r>
      <w:r>
        <w:fldChar w:fldCharType="separate"/>
      </w:r>
      <w:r>
        <w:rPr>
          <w:rFonts w:ascii="仿宋_GB2312" w:hAnsi="Times New Roman" w:eastAsia="仿宋_GB2312"/>
          <w:color w:val="000000"/>
          <w:sz w:val="28"/>
          <w:szCs w:val="28"/>
        </w:rPr>
        <w:t>秦巴山区</w:t>
      </w:r>
      <w:r>
        <w:rPr>
          <w:rFonts w:ascii="仿宋_GB2312" w:hAnsi="Times New Roman" w:eastAsia="仿宋_GB2312"/>
          <w:color w:val="000000"/>
          <w:sz w:val="28"/>
          <w:szCs w:val="28"/>
        </w:rPr>
        <w:fldChar w:fldCharType="end"/>
      </w:r>
      <w:r>
        <w:rPr>
          <w:rFonts w:ascii="仿宋_GB2312" w:hAnsi="Times New Roman" w:eastAsia="仿宋_GB2312"/>
          <w:color w:val="000000"/>
          <w:sz w:val="28"/>
          <w:szCs w:val="28"/>
        </w:rPr>
        <w:t>腹地。地处</w:t>
      </w:r>
      <w:r>
        <w:fldChar w:fldCharType="begin"/>
      </w:r>
      <w:r>
        <w:instrText xml:space="preserve"> HYPERLINK "https://baike.baidu.com/item/%E9%84%82%E8%A5%BF%E5%8C%97/6757140" \t "_blank" </w:instrText>
      </w:r>
      <w:r>
        <w:fldChar w:fldCharType="separate"/>
      </w:r>
      <w:r>
        <w:rPr>
          <w:rFonts w:ascii="仿宋_GB2312" w:hAnsi="Times New Roman" w:eastAsia="仿宋_GB2312"/>
          <w:color w:val="000000"/>
          <w:sz w:val="28"/>
          <w:szCs w:val="28"/>
        </w:rPr>
        <w:t>鄂西北</w:t>
      </w:r>
      <w:r>
        <w:rPr>
          <w:rFonts w:ascii="仿宋_GB2312" w:hAnsi="Times New Roman" w:eastAsia="仿宋_GB2312"/>
          <w:color w:val="000000"/>
          <w:sz w:val="28"/>
          <w:szCs w:val="28"/>
        </w:rPr>
        <w:fldChar w:fldCharType="end"/>
      </w:r>
      <w:r>
        <w:rPr>
          <w:rFonts w:ascii="仿宋_GB2312" w:hAnsi="Times New Roman" w:eastAsia="仿宋_GB2312"/>
          <w:color w:val="000000"/>
          <w:sz w:val="28"/>
          <w:szCs w:val="28"/>
        </w:rPr>
        <w:t>山地，北属</w:t>
      </w:r>
      <w:r>
        <w:fldChar w:fldCharType="begin"/>
      </w:r>
      <w:r>
        <w:instrText xml:space="preserve"> HYPERLINK "https://baike.baidu.com/item/%E6%AD%A6%E5%BD%93%E5%B1%B1/84549" \t "_blank" </w:instrText>
      </w:r>
      <w:r>
        <w:fldChar w:fldCharType="separate"/>
      </w:r>
      <w:r>
        <w:rPr>
          <w:rFonts w:ascii="仿宋_GB2312" w:hAnsi="Times New Roman" w:eastAsia="仿宋_GB2312"/>
          <w:color w:val="000000"/>
          <w:sz w:val="28"/>
          <w:szCs w:val="28"/>
        </w:rPr>
        <w:t>武当山</w:t>
      </w:r>
      <w:r>
        <w:rPr>
          <w:rFonts w:ascii="仿宋_GB2312" w:hAnsi="Times New Roman" w:eastAsia="仿宋_GB2312"/>
          <w:color w:val="000000"/>
          <w:sz w:val="28"/>
          <w:szCs w:val="28"/>
        </w:rPr>
        <w:fldChar w:fldCharType="end"/>
      </w:r>
      <w:r>
        <w:rPr>
          <w:rFonts w:ascii="仿宋_GB2312" w:hAnsi="Times New Roman" w:eastAsia="仿宋_GB2312"/>
          <w:color w:val="000000"/>
          <w:sz w:val="28"/>
          <w:szCs w:val="28"/>
        </w:rPr>
        <w:t>，南属大巴山。东邻</w:t>
      </w:r>
      <w:r>
        <w:fldChar w:fldCharType="begin"/>
      </w:r>
      <w:r>
        <w:instrText xml:space="preserve"> HYPERLINK "https://baike.baidu.com/item/%E6%88%BF%E5%8E%BF/2885033" \t "_blank" </w:instrText>
      </w:r>
      <w:r>
        <w:fldChar w:fldCharType="separate"/>
      </w:r>
      <w:r>
        <w:rPr>
          <w:rFonts w:ascii="仿宋_GB2312" w:hAnsi="Times New Roman" w:eastAsia="仿宋_GB2312"/>
          <w:color w:val="000000"/>
          <w:sz w:val="28"/>
          <w:szCs w:val="28"/>
        </w:rPr>
        <w:t>房县</w:t>
      </w:r>
      <w:r>
        <w:rPr>
          <w:rFonts w:ascii="仿宋_GB2312" w:hAnsi="Times New Roman" w:eastAsia="仿宋_GB2312"/>
          <w:color w:val="000000"/>
          <w:sz w:val="28"/>
          <w:szCs w:val="28"/>
        </w:rPr>
        <w:fldChar w:fldCharType="end"/>
      </w:r>
      <w:r>
        <w:rPr>
          <w:rFonts w:ascii="仿宋_GB2312" w:hAnsi="Times New Roman" w:eastAsia="仿宋_GB2312"/>
          <w:color w:val="000000"/>
          <w:sz w:val="28"/>
          <w:szCs w:val="28"/>
        </w:rPr>
        <w:t>，北界</w:t>
      </w:r>
      <w:r>
        <w:fldChar w:fldCharType="begin"/>
      </w:r>
      <w:r>
        <w:instrText xml:space="preserve"> HYPERLINK "https://baike.baidu.com/item/%E9%83%A7%E9%98%B3%E5%8C%BA/15841349" \t "_blank" </w:instrText>
      </w:r>
      <w:r>
        <w:fldChar w:fldCharType="separate"/>
      </w:r>
      <w:r>
        <w:rPr>
          <w:rFonts w:ascii="仿宋_GB2312" w:hAnsi="Times New Roman" w:eastAsia="仿宋_GB2312"/>
          <w:color w:val="000000"/>
          <w:sz w:val="28"/>
          <w:szCs w:val="28"/>
        </w:rPr>
        <w:t>郧阳区</w:t>
      </w:r>
      <w:r>
        <w:rPr>
          <w:rFonts w:ascii="仿宋_GB2312" w:hAnsi="Times New Roman" w:eastAsia="仿宋_GB2312"/>
          <w:color w:val="000000"/>
          <w:sz w:val="28"/>
          <w:szCs w:val="28"/>
        </w:rPr>
        <w:fldChar w:fldCharType="end"/>
      </w:r>
      <w:r>
        <w:rPr>
          <w:rFonts w:ascii="仿宋_GB2312" w:hAnsi="Times New Roman" w:eastAsia="仿宋_GB2312"/>
          <w:color w:val="000000"/>
          <w:sz w:val="28"/>
          <w:szCs w:val="28"/>
        </w:rPr>
        <w:t>，西北邻陕西省</w:t>
      </w:r>
      <w:r>
        <w:fldChar w:fldCharType="begin"/>
      </w:r>
      <w:r>
        <w:instrText xml:space="preserve"> HYPERLINK "https://baike.baidu.com/item/%E7%99%BD%E6%B2%B3%E5%8E%BF/5641184" \t "_blank" </w:instrText>
      </w:r>
      <w:r>
        <w:fldChar w:fldCharType="separate"/>
      </w:r>
      <w:r>
        <w:rPr>
          <w:rFonts w:ascii="仿宋_GB2312" w:hAnsi="Times New Roman" w:eastAsia="仿宋_GB2312"/>
          <w:color w:val="000000"/>
          <w:sz w:val="28"/>
          <w:szCs w:val="28"/>
        </w:rPr>
        <w:t>白河县</w:t>
      </w:r>
      <w:r>
        <w:rPr>
          <w:rFonts w:ascii="仿宋_GB2312" w:hAnsi="Times New Roman" w:eastAsia="仿宋_GB2312"/>
          <w:color w:val="000000"/>
          <w:sz w:val="28"/>
          <w:szCs w:val="28"/>
        </w:rPr>
        <w:fldChar w:fldCharType="end"/>
      </w:r>
      <w:r>
        <w:rPr>
          <w:rFonts w:ascii="仿宋_GB2312" w:hAnsi="Times New Roman" w:eastAsia="仿宋_GB2312"/>
          <w:color w:val="000000"/>
          <w:sz w:val="28"/>
          <w:szCs w:val="28"/>
        </w:rPr>
        <w:t>，西交</w:t>
      </w:r>
      <w:r>
        <w:fldChar w:fldCharType="begin"/>
      </w:r>
      <w:r>
        <w:instrText xml:space="preserve"> HYPERLINK "https://baike.baidu.com/item/%E7%AB%B9%E6%BA%AA%E5%8E%BF/2883032" \t "_blank" </w:instrText>
      </w:r>
      <w:r>
        <w:fldChar w:fldCharType="separate"/>
      </w:r>
      <w:r>
        <w:rPr>
          <w:rFonts w:ascii="仿宋_GB2312" w:hAnsi="Times New Roman" w:eastAsia="仿宋_GB2312"/>
          <w:color w:val="000000"/>
          <w:sz w:val="28"/>
          <w:szCs w:val="28"/>
        </w:rPr>
        <w:t>竹溪县</w:t>
      </w:r>
      <w:r>
        <w:rPr>
          <w:rFonts w:ascii="仿宋_GB2312" w:hAnsi="Times New Roman" w:eastAsia="仿宋_GB2312"/>
          <w:color w:val="000000"/>
          <w:sz w:val="28"/>
          <w:szCs w:val="28"/>
        </w:rPr>
        <w:fldChar w:fldCharType="end"/>
      </w:r>
      <w:r>
        <w:rPr>
          <w:rFonts w:ascii="仿宋_GB2312" w:hAnsi="Times New Roman" w:eastAsia="仿宋_GB2312"/>
          <w:color w:val="000000"/>
          <w:sz w:val="28"/>
          <w:szCs w:val="28"/>
        </w:rPr>
        <w:t>、陕西</w:t>
      </w:r>
      <w:r>
        <w:fldChar w:fldCharType="begin"/>
      </w:r>
      <w:r>
        <w:instrText xml:space="preserve"> HYPERLINK "https://baike.baidu.com/item/%E6%97%AC%E9%98%B3%E5%8E%BF/2768616" \t "_blank" </w:instrText>
      </w:r>
      <w:r>
        <w:fldChar w:fldCharType="separate"/>
      </w:r>
      <w:r>
        <w:rPr>
          <w:rFonts w:ascii="仿宋_GB2312" w:hAnsi="Times New Roman" w:eastAsia="仿宋_GB2312"/>
          <w:color w:val="000000"/>
          <w:sz w:val="28"/>
          <w:szCs w:val="28"/>
        </w:rPr>
        <w:t>旬阳县</w:t>
      </w:r>
      <w:r>
        <w:rPr>
          <w:rFonts w:ascii="仿宋_GB2312" w:hAnsi="Times New Roman" w:eastAsia="仿宋_GB2312"/>
          <w:color w:val="000000"/>
          <w:sz w:val="28"/>
          <w:szCs w:val="28"/>
        </w:rPr>
        <w:fldChar w:fldCharType="end"/>
      </w:r>
      <w:r>
        <w:rPr>
          <w:rFonts w:ascii="仿宋_GB2312" w:hAnsi="Times New Roman" w:eastAsia="仿宋_GB2312"/>
          <w:color w:val="000000"/>
          <w:sz w:val="28"/>
          <w:szCs w:val="28"/>
        </w:rPr>
        <w:t>，南接</w:t>
      </w:r>
      <w:r>
        <w:fldChar w:fldCharType="begin"/>
      </w:r>
      <w:r>
        <w:instrText xml:space="preserve"> HYPERLINK "https://baike.baidu.com/item/%E7%A5%9E%E5%86%9C%E6%9E%B6%E6%9E%97%E5%8C%BA/2884040" \t "_blank" </w:instrText>
      </w:r>
      <w:r>
        <w:fldChar w:fldCharType="separate"/>
      </w:r>
      <w:r>
        <w:rPr>
          <w:rFonts w:ascii="仿宋_GB2312" w:hAnsi="Times New Roman" w:eastAsia="仿宋_GB2312"/>
          <w:color w:val="000000"/>
          <w:sz w:val="28"/>
          <w:szCs w:val="28"/>
        </w:rPr>
        <w:t>神农架林区</w:t>
      </w:r>
      <w:r>
        <w:rPr>
          <w:rFonts w:ascii="仿宋_GB2312" w:hAnsi="Times New Roman" w:eastAsia="仿宋_GB2312"/>
          <w:color w:val="000000"/>
          <w:sz w:val="28"/>
          <w:szCs w:val="28"/>
        </w:rPr>
        <w:fldChar w:fldCharType="end"/>
      </w:r>
      <w:r>
        <w:rPr>
          <w:rFonts w:ascii="仿宋_GB2312" w:hAnsi="Times New Roman" w:eastAsia="仿宋_GB2312"/>
          <w:color w:val="000000"/>
          <w:sz w:val="28"/>
          <w:szCs w:val="28"/>
        </w:rPr>
        <w:t>、重庆市</w:t>
      </w:r>
      <w:r>
        <w:fldChar w:fldCharType="begin"/>
      </w:r>
      <w:r>
        <w:instrText xml:space="preserve"> HYPERLINK "https://baike.baidu.com/item/%E5%B7%AB%E6%BA%AA%E5%8E%BF/10976233" \t "_blank" </w:instrText>
      </w:r>
      <w:r>
        <w:fldChar w:fldCharType="separate"/>
      </w:r>
      <w:r>
        <w:rPr>
          <w:rFonts w:ascii="仿宋_GB2312" w:hAnsi="Times New Roman" w:eastAsia="仿宋_GB2312"/>
          <w:color w:val="000000"/>
          <w:sz w:val="28"/>
          <w:szCs w:val="28"/>
        </w:rPr>
        <w:t>巫溪县</w:t>
      </w:r>
      <w:r>
        <w:rPr>
          <w:rFonts w:ascii="仿宋_GB2312" w:hAnsi="Times New Roman" w:eastAsia="仿宋_GB2312"/>
          <w:color w:val="000000"/>
          <w:sz w:val="28"/>
          <w:szCs w:val="28"/>
        </w:rPr>
        <w:fldChar w:fldCharType="end"/>
      </w:r>
      <w:r>
        <w:rPr>
          <w:rFonts w:ascii="仿宋_GB2312" w:hAnsi="Times New Roman" w:eastAsia="仿宋_GB2312"/>
          <w:color w:val="000000"/>
          <w:sz w:val="28"/>
          <w:szCs w:val="28"/>
        </w:rPr>
        <w:t>。西魏废帝</w:t>
      </w:r>
      <w:r>
        <w:fldChar w:fldCharType="begin"/>
      </w:r>
      <w:r>
        <w:instrText xml:space="preserve"> HYPERLINK "https://baike.baidu.com/item/%E5%85%83%E9%92%A6/4191230" \t "_blank" </w:instrText>
      </w:r>
      <w:r>
        <w:fldChar w:fldCharType="separate"/>
      </w:r>
      <w:r>
        <w:rPr>
          <w:rFonts w:ascii="仿宋_GB2312" w:hAnsi="Times New Roman" w:eastAsia="仿宋_GB2312"/>
          <w:color w:val="000000"/>
          <w:sz w:val="28"/>
          <w:szCs w:val="28"/>
        </w:rPr>
        <w:t>元钦</w:t>
      </w:r>
      <w:r>
        <w:rPr>
          <w:rFonts w:ascii="仿宋_GB2312" w:hAnsi="Times New Roman" w:eastAsia="仿宋_GB2312"/>
          <w:color w:val="000000"/>
          <w:sz w:val="28"/>
          <w:szCs w:val="28"/>
        </w:rPr>
        <w:fldChar w:fldCharType="end"/>
      </w:r>
      <w:r>
        <w:rPr>
          <w:rFonts w:ascii="仿宋_GB2312" w:hAnsi="Times New Roman" w:eastAsia="仿宋_GB2312"/>
          <w:color w:val="000000"/>
          <w:sz w:val="28"/>
          <w:szCs w:val="28"/>
        </w:rPr>
        <w:t>因境内茂林修竹、山清水秀而改称“竹山”。县城东北距十堰市城区158公里，东南距</w:t>
      </w:r>
      <w:r>
        <w:fldChar w:fldCharType="begin"/>
      </w:r>
      <w:r>
        <w:instrText xml:space="preserve"> HYPERLINK "https://baike.baidu.com/item/%E6%AD%A6%E6%B1%89%E5%B8%82/195165" \t "_blank" </w:instrText>
      </w:r>
      <w:r>
        <w:fldChar w:fldCharType="separate"/>
      </w:r>
      <w:r>
        <w:rPr>
          <w:rFonts w:ascii="仿宋_GB2312" w:hAnsi="Times New Roman" w:eastAsia="仿宋_GB2312"/>
          <w:color w:val="000000"/>
          <w:sz w:val="28"/>
          <w:szCs w:val="28"/>
        </w:rPr>
        <w:t>武汉市</w:t>
      </w:r>
      <w:r>
        <w:rPr>
          <w:rFonts w:ascii="仿宋_GB2312" w:hAnsi="Times New Roman" w:eastAsia="仿宋_GB2312"/>
          <w:color w:val="000000"/>
          <w:sz w:val="28"/>
          <w:szCs w:val="28"/>
        </w:rPr>
        <w:fldChar w:fldCharType="end"/>
      </w:r>
      <w:r>
        <w:rPr>
          <w:rFonts w:ascii="仿宋_GB2312" w:hAnsi="Times New Roman" w:eastAsia="仿宋_GB2312"/>
          <w:color w:val="000000"/>
          <w:sz w:val="28"/>
          <w:szCs w:val="28"/>
        </w:rPr>
        <w:t>638公里。面积3587.8平方公里，山地占总面积80%以上。辖9镇8乡279个村，2016年人口51万人，有汉族、</w:t>
      </w:r>
      <w:r>
        <w:fldChar w:fldCharType="begin"/>
      </w:r>
      <w:r>
        <w:instrText xml:space="preserve"> HYPERLINK "https://baike.baidu.com/item/%E5%9B%9E%E6%97%8F/130303" \t "_blank" </w:instrText>
      </w:r>
      <w:r>
        <w:fldChar w:fldCharType="separate"/>
      </w:r>
      <w:r>
        <w:rPr>
          <w:rFonts w:ascii="仿宋_GB2312" w:hAnsi="Times New Roman" w:eastAsia="仿宋_GB2312"/>
          <w:color w:val="000000"/>
          <w:sz w:val="28"/>
          <w:szCs w:val="28"/>
        </w:rPr>
        <w:t>回族</w:t>
      </w:r>
      <w:r>
        <w:rPr>
          <w:rFonts w:ascii="仿宋_GB2312" w:hAnsi="Times New Roman" w:eastAsia="仿宋_GB2312"/>
          <w:color w:val="000000"/>
          <w:sz w:val="28"/>
          <w:szCs w:val="28"/>
        </w:rPr>
        <w:fldChar w:fldCharType="end"/>
      </w:r>
      <w:r>
        <w:rPr>
          <w:rFonts w:ascii="仿宋_GB2312" w:hAnsi="Times New Roman" w:eastAsia="仿宋_GB2312"/>
          <w:color w:val="000000"/>
          <w:sz w:val="28"/>
          <w:szCs w:val="28"/>
        </w:rPr>
        <w:t>、壮族、</w:t>
      </w:r>
      <w:r>
        <w:fldChar w:fldCharType="begin"/>
      </w:r>
      <w:r>
        <w:instrText xml:space="preserve"> HYPERLINK "https://baike.baidu.com/item/%E8%92%99%E5%8F%A4%E6%97%8F/129889" \t "_blank" </w:instrText>
      </w:r>
      <w:r>
        <w:fldChar w:fldCharType="separate"/>
      </w:r>
      <w:r>
        <w:rPr>
          <w:rFonts w:ascii="仿宋_GB2312" w:hAnsi="Times New Roman" w:eastAsia="仿宋_GB2312"/>
          <w:color w:val="000000"/>
          <w:sz w:val="28"/>
          <w:szCs w:val="28"/>
        </w:rPr>
        <w:t>蒙古族</w:t>
      </w:r>
      <w:r>
        <w:rPr>
          <w:rFonts w:ascii="仿宋_GB2312" w:hAnsi="Times New Roman" w:eastAsia="仿宋_GB2312"/>
          <w:color w:val="000000"/>
          <w:sz w:val="28"/>
          <w:szCs w:val="28"/>
        </w:rPr>
        <w:fldChar w:fldCharType="end"/>
      </w:r>
      <w:r>
        <w:rPr>
          <w:rFonts w:ascii="仿宋_GB2312" w:hAnsi="Times New Roman" w:eastAsia="仿宋_GB2312"/>
          <w:color w:val="000000"/>
          <w:sz w:val="28"/>
          <w:szCs w:val="28"/>
        </w:rPr>
        <w:t>、满族等8个民族。</w:t>
      </w:r>
    </w:p>
    <w:p>
      <w:pPr>
        <w:keepNext w:val="0"/>
        <w:keepLines w:val="0"/>
        <w:pageBreakBefore w:val="0"/>
        <w:widowControl w:val="0"/>
        <w:kinsoku/>
        <w:wordWrap/>
        <w:overflowPunct/>
        <w:topLinePunct w:val="0"/>
        <w:autoSpaceDE/>
        <w:autoSpaceDN/>
        <w:bidi w:val="0"/>
        <w:adjustRightInd/>
        <w:spacing w:line="360" w:lineRule="auto"/>
        <w:ind w:firstLine="560" w:firstLineChars="200"/>
        <w:textAlignment w:val="auto"/>
        <w:rPr>
          <w:rFonts w:ascii="仿宋_GB2312" w:hAnsi="新宋体" w:eastAsia="仿宋_GB2312"/>
          <w:bCs/>
          <w:sz w:val="28"/>
        </w:rPr>
      </w:pPr>
      <w:r>
        <w:rPr>
          <w:rFonts w:hint="eastAsia" w:ascii="仿宋_GB2312" w:hAnsi="新宋体" w:eastAsia="仿宋_GB2312"/>
          <w:bCs/>
          <w:sz w:val="28"/>
        </w:rPr>
        <w:t>（2）微观区位状况</w:t>
      </w:r>
    </w:p>
    <w:p>
      <w:pPr>
        <w:keepNext w:val="0"/>
        <w:keepLines w:val="0"/>
        <w:pageBreakBefore w:val="0"/>
        <w:widowControl w:val="0"/>
        <w:kinsoku/>
        <w:wordWrap/>
        <w:overflowPunct/>
        <w:topLinePunct w:val="0"/>
        <w:autoSpaceDE/>
        <w:autoSpaceDN/>
        <w:bidi w:val="0"/>
        <w:adjustRightInd/>
        <w:spacing w:line="360" w:lineRule="auto"/>
        <w:ind w:firstLine="560" w:firstLineChars="200"/>
        <w:textAlignment w:val="auto"/>
        <w:rPr>
          <w:rFonts w:ascii="仿宋_GB2312" w:eastAsia="仿宋_GB2312"/>
          <w:sz w:val="28"/>
          <w:szCs w:val="28"/>
        </w:rPr>
      </w:pPr>
      <w:r>
        <w:rPr>
          <w:rFonts w:hint="eastAsia" w:ascii="仿宋_GB2312" w:hAnsi="新宋体" w:eastAsia="仿宋_GB2312"/>
          <w:bCs/>
          <w:sz w:val="28"/>
        </w:rPr>
        <w:t>估价对象房地产坐落于</w:t>
      </w:r>
      <w:r>
        <w:rPr>
          <w:rFonts w:hint="eastAsia" w:ascii="仿宋_GB2312" w:hAnsi="新宋体" w:eastAsia="仿宋_GB2312"/>
          <w:bCs/>
          <w:sz w:val="28"/>
          <w:lang w:val="en-US" w:eastAsia="zh-CN"/>
        </w:rPr>
        <w:t>竹山县城关镇东门街（东门市场）</w:t>
      </w:r>
      <w:r>
        <w:rPr>
          <w:rFonts w:hint="eastAsia" w:ascii="仿宋_GB2312" w:hAnsi="新宋体" w:eastAsia="仿宋_GB2312"/>
          <w:bCs/>
          <w:sz w:val="28"/>
        </w:rPr>
        <w:t>，地处</w:t>
      </w:r>
      <w:r>
        <w:rPr>
          <w:rFonts w:hint="eastAsia" w:ascii="仿宋_GB2312" w:hAnsi="新宋体" w:eastAsia="仿宋_GB2312"/>
          <w:bCs/>
          <w:sz w:val="28"/>
          <w:lang w:val="en-US" w:eastAsia="zh-CN"/>
        </w:rPr>
        <w:t>东门街北侧</w:t>
      </w:r>
      <w:r>
        <w:rPr>
          <w:rFonts w:hint="eastAsia" w:ascii="仿宋_GB2312" w:hAnsi="新宋体" w:eastAsia="仿宋_GB2312"/>
          <w:bCs/>
          <w:sz w:val="28"/>
        </w:rPr>
        <w:t>。</w:t>
      </w:r>
      <w:r>
        <w:rPr>
          <w:rFonts w:hint="eastAsia" w:ascii="仿宋_GB2312" w:hAnsi="新宋体" w:eastAsia="仿宋_GB2312"/>
          <w:bCs/>
          <w:sz w:val="28"/>
          <w:lang w:eastAsia="zh-CN"/>
        </w:rPr>
        <w:t>东临竹山县交警一大队，西临其它商住楼，南临东门街，北临住宅区</w:t>
      </w:r>
      <w:r>
        <w:rPr>
          <w:rFonts w:hint="eastAsia" w:ascii="仿宋_GB2312" w:eastAsia="仿宋_GB2312"/>
          <w:sz w:val="28"/>
          <w:szCs w:val="28"/>
        </w:rPr>
        <w:t>。周围千米范围内分布有</w:t>
      </w:r>
      <w:r>
        <w:rPr>
          <w:rFonts w:hint="eastAsia" w:ascii="仿宋_GB2312" w:eastAsia="仿宋_GB2312"/>
          <w:sz w:val="28"/>
          <w:szCs w:val="28"/>
          <w:lang w:val="en-US" w:eastAsia="zh-CN"/>
        </w:rPr>
        <w:t>卓尔竹山客厅，千福上庸城、生资小区</w:t>
      </w:r>
      <w:r>
        <w:rPr>
          <w:rFonts w:hint="eastAsia" w:ascii="仿宋_GB2312" w:eastAsia="仿宋_GB2312"/>
          <w:sz w:val="28"/>
          <w:szCs w:val="28"/>
        </w:rPr>
        <w:t>等</w:t>
      </w:r>
      <w:r>
        <w:rPr>
          <w:rFonts w:hint="eastAsia" w:ascii="仿宋_GB2312" w:eastAsia="仿宋_GB2312"/>
          <w:sz w:val="28"/>
          <w:szCs w:val="28"/>
          <w:lang w:val="en-US" w:eastAsia="zh-CN"/>
        </w:rPr>
        <w:t>住宅小区</w:t>
      </w:r>
      <w:r>
        <w:rPr>
          <w:rFonts w:hint="eastAsia" w:ascii="仿宋_GB2312" w:eastAsia="仿宋_GB2312"/>
          <w:sz w:val="28"/>
          <w:szCs w:val="28"/>
        </w:rPr>
        <w:t>，</w:t>
      </w:r>
      <w:r>
        <w:rPr>
          <w:rFonts w:hint="eastAsia" w:ascii="仿宋_GB2312" w:eastAsia="仿宋_GB2312"/>
          <w:sz w:val="28"/>
          <w:szCs w:val="28"/>
          <w:lang w:val="en-US" w:eastAsia="zh-CN"/>
        </w:rPr>
        <w:t>人流量较密集，</w:t>
      </w:r>
      <w:r>
        <w:rPr>
          <w:rFonts w:hint="eastAsia" w:ascii="仿宋_GB2312" w:eastAsia="仿宋_GB2312"/>
          <w:sz w:val="28"/>
          <w:szCs w:val="28"/>
        </w:rPr>
        <w:t>交通条件较便利，基础设施及配套设施较齐全。</w:t>
      </w:r>
    </w:p>
    <w:p>
      <w:pPr>
        <w:keepNext w:val="0"/>
        <w:keepLines w:val="0"/>
        <w:pageBreakBefore w:val="0"/>
        <w:widowControl w:val="0"/>
        <w:kinsoku/>
        <w:wordWrap/>
        <w:overflowPunct/>
        <w:topLinePunct w:val="0"/>
        <w:autoSpaceDE/>
        <w:autoSpaceDN/>
        <w:bidi w:val="0"/>
        <w:adjustRightInd/>
        <w:spacing w:line="360" w:lineRule="auto"/>
        <w:ind w:firstLine="560" w:firstLineChars="200"/>
        <w:textAlignment w:val="auto"/>
        <w:outlineLvl w:val="0"/>
        <w:rPr>
          <w:rFonts w:ascii="仿宋_GB2312" w:hAnsi="宋体" w:eastAsia="仿宋_GB2312"/>
          <w:sz w:val="28"/>
          <w:szCs w:val="28"/>
        </w:rPr>
      </w:pPr>
      <w:r>
        <w:rPr>
          <w:rFonts w:hint="eastAsia" w:ascii="仿宋_GB2312" w:hAnsi="宋体" w:eastAsia="仿宋_GB2312"/>
          <w:sz w:val="28"/>
          <w:szCs w:val="28"/>
        </w:rPr>
        <w:t>估价对象</w:t>
      </w:r>
      <w:r>
        <w:rPr>
          <w:rFonts w:hint="eastAsia" w:ascii="仿宋_GB2312" w:hAnsi="宋体" w:eastAsia="仿宋_GB2312"/>
          <w:sz w:val="28"/>
          <w:szCs w:val="28"/>
          <w:lang w:val="en-US" w:eastAsia="zh-CN"/>
        </w:rPr>
        <w:t>拟出租为</w:t>
      </w:r>
      <w:r>
        <w:rPr>
          <w:rFonts w:hint="eastAsia" w:ascii="仿宋_GB2312" w:hAnsi="宋体" w:eastAsia="仿宋_GB2312"/>
          <w:sz w:val="28"/>
          <w:szCs w:val="28"/>
        </w:rPr>
        <w:t>商业用房，</w:t>
      </w:r>
      <w:r>
        <w:rPr>
          <w:rFonts w:hint="eastAsia" w:ascii="仿宋_GB2312" w:hAnsi="宋体" w:eastAsia="仿宋_GB2312"/>
          <w:sz w:val="28"/>
          <w:szCs w:val="28"/>
          <w:lang w:val="en-US" w:eastAsia="zh-CN"/>
        </w:rPr>
        <w:t>临东门街</w:t>
      </w:r>
      <w:r>
        <w:rPr>
          <w:rFonts w:hint="eastAsia" w:ascii="仿宋_GB2312" w:hAnsi="宋体" w:eastAsia="仿宋_GB2312"/>
          <w:sz w:val="28"/>
          <w:szCs w:val="28"/>
        </w:rPr>
        <w:t>，</w:t>
      </w:r>
      <w:r>
        <w:rPr>
          <w:rFonts w:hint="eastAsia" w:ascii="仿宋_GB2312" w:hAnsi="宋体" w:eastAsia="仿宋_GB2312"/>
          <w:sz w:val="28"/>
          <w:szCs w:val="28"/>
          <w:lang w:val="en-US" w:eastAsia="zh-CN"/>
        </w:rPr>
        <w:t>商业服务设施沿街分布</w:t>
      </w:r>
      <w:r>
        <w:rPr>
          <w:rFonts w:hint="eastAsia" w:ascii="仿宋_GB2312" w:hAnsi="宋体" w:eastAsia="仿宋_GB2312"/>
          <w:sz w:val="28"/>
          <w:szCs w:val="28"/>
        </w:rPr>
        <w:t>，商业氛围较</w:t>
      </w:r>
      <w:r>
        <w:rPr>
          <w:rFonts w:hint="eastAsia" w:ascii="仿宋_GB2312" w:hAnsi="宋体" w:eastAsia="仿宋_GB2312"/>
          <w:sz w:val="28"/>
          <w:szCs w:val="28"/>
          <w:lang w:val="en-US" w:eastAsia="zh-CN"/>
        </w:rPr>
        <w:t>优</w:t>
      </w:r>
      <w:r>
        <w:rPr>
          <w:rFonts w:hint="eastAsia" w:ascii="仿宋_GB2312" w:hAnsi="宋体" w:eastAsia="仿宋_GB2312"/>
          <w:sz w:val="28"/>
          <w:szCs w:val="28"/>
        </w:rPr>
        <w:t>,</w:t>
      </w:r>
      <w:r>
        <w:rPr>
          <w:rFonts w:hint="eastAsia" w:ascii="仿宋_GB2312" w:hAnsi="宋体" w:eastAsia="仿宋_GB2312"/>
          <w:sz w:val="28"/>
          <w:szCs w:val="28"/>
          <w:lang w:val="en-US" w:eastAsia="zh-CN"/>
        </w:rPr>
        <w:t>企事业单位聚集，是较为理想的经商场所</w:t>
      </w:r>
      <w:r>
        <w:rPr>
          <w:rFonts w:hint="eastAsia" w:ascii="仿宋_GB2312" w:hAnsi="宋体" w:eastAsia="仿宋_GB2312"/>
          <w:sz w:val="28"/>
          <w:szCs w:val="28"/>
        </w:rPr>
        <w:t>。</w:t>
      </w:r>
    </w:p>
    <w:p>
      <w:pPr>
        <w:keepNext w:val="0"/>
        <w:keepLines w:val="0"/>
        <w:pageBreakBefore w:val="0"/>
        <w:widowControl w:val="0"/>
        <w:kinsoku/>
        <w:wordWrap/>
        <w:overflowPunct/>
        <w:topLinePunct w:val="0"/>
        <w:autoSpaceDE/>
        <w:autoSpaceDN/>
        <w:bidi w:val="0"/>
        <w:adjustRightInd/>
        <w:spacing w:line="360" w:lineRule="auto"/>
        <w:ind w:firstLine="562" w:firstLineChars="200"/>
        <w:textAlignment w:val="auto"/>
        <w:rPr>
          <w:rFonts w:ascii="仿宋_GB2312" w:hAnsi="新宋体" w:eastAsia="仿宋_GB2312"/>
          <w:b/>
          <w:bCs/>
          <w:sz w:val="28"/>
        </w:rPr>
      </w:pPr>
      <w:r>
        <w:rPr>
          <w:rFonts w:hint="eastAsia" w:ascii="仿宋_GB2312" w:hAnsi="新宋体" w:eastAsia="仿宋_GB2312"/>
          <w:b/>
          <w:bCs/>
          <w:sz w:val="28"/>
        </w:rPr>
        <w:t>2、估价对象实物状况</w:t>
      </w:r>
    </w:p>
    <w:p>
      <w:pPr>
        <w:keepNext w:val="0"/>
        <w:keepLines w:val="0"/>
        <w:pageBreakBefore w:val="0"/>
        <w:widowControl w:val="0"/>
        <w:kinsoku/>
        <w:wordWrap/>
        <w:overflowPunct/>
        <w:topLinePunct w:val="0"/>
        <w:autoSpaceDE/>
        <w:autoSpaceDN/>
        <w:bidi w:val="0"/>
        <w:adjustRightInd/>
        <w:spacing w:line="360" w:lineRule="auto"/>
        <w:ind w:firstLine="584" w:firstLineChars="200"/>
        <w:textAlignment w:val="auto"/>
        <w:outlineLvl w:val="1"/>
        <w:rPr>
          <w:rFonts w:hint="default" w:ascii="仿宋_GB2312" w:eastAsia="仿宋_GB2312"/>
          <w:spacing w:val="6"/>
          <w:sz w:val="28"/>
          <w:lang w:val="en-US" w:eastAsia="zh-CN"/>
        </w:rPr>
      </w:pPr>
      <w:r>
        <w:rPr>
          <w:rFonts w:hint="eastAsia" w:ascii="仿宋_GB2312" w:hAnsi="新宋体" w:eastAsia="仿宋_GB2312"/>
          <w:spacing w:val="6"/>
          <w:sz w:val="28"/>
        </w:rPr>
        <w:t>估价对象房地产所在楼宇为1栋</w:t>
      </w:r>
      <w:r>
        <w:rPr>
          <w:rFonts w:hint="eastAsia" w:ascii="仿宋_GB2312" w:hAnsi="新宋体" w:eastAsia="仿宋_GB2312"/>
          <w:spacing w:val="6"/>
          <w:sz w:val="28"/>
          <w:lang w:val="en-US" w:eastAsia="zh-CN"/>
        </w:rPr>
        <w:t>钢混</w:t>
      </w:r>
      <w:r>
        <w:rPr>
          <w:rFonts w:hint="eastAsia" w:ascii="仿宋_GB2312" w:hAnsi="新宋体" w:eastAsia="仿宋_GB2312"/>
          <w:spacing w:val="6"/>
          <w:sz w:val="28"/>
        </w:rPr>
        <w:t>结构</w:t>
      </w:r>
      <w:r>
        <w:rPr>
          <w:rFonts w:hint="eastAsia" w:ascii="仿宋_GB2312" w:hAnsi="新宋体" w:eastAsia="仿宋_GB2312"/>
          <w:spacing w:val="6"/>
          <w:sz w:val="28"/>
          <w:lang w:val="en-US" w:eastAsia="zh-CN"/>
        </w:rPr>
        <w:t>综合市场</w:t>
      </w:r>
      <w:r>
        <w:rPr>
          <w:rFonts w:hint="eastAsia" w:ascii="仿宋_GB2312" w:hAnsi="新宋体" w:eastAsia="仿宋_GB2312"/>
          <w:spacing w:val="6"/>
          <w:sz w:val="28"/>
        </w:rPr>
        <w:t>，</w:t>
      </w:r>
      <w:r>
        <w:rPr>
          <w:rFonts w:hint="eastAsia" w:ascii="仿宋_GB2312" w:hAnsi="新宋体" w:eastAsia="仿宋_GB2312"/>
          <w:spacing w:val="6"/>
          <w:sz w:val="28"/>
          <w:lang w:val="en-US" w:eastAsia="zh-CN"/>
        </w:rPr>
        <w:t>本次拟出租门面房位于该农贸市场1层，估价对象尚未办理产权登记手续，无产权证明文件，本次估价对象的面积根据估价委托方提供的《东门市场一层平面图》确定，拟出租面积合计为76.92平方米。</w:t>
      </w:r>
    </w:p>
    <w:p>
      <w:pPr>
        <w:keepNext w:val="0"/>
        <w:keepLines w:val="0"/>
        <w:pageBreakBefore w:val="0"/>
        <w:widowControl w:val="0"/>
        <w:kinsoku/>
        <w:wordWrap/>
        <w:overflowPunct/>
        <w:topLinePunct w:val="0"/>
        <w:autoSpaceDE/>
        <w:autoSpaceDN/>
        <w:bidi w:val="0"/>
        <w:adjustRightInd/>
        <w:spacing w:line="360" w:lineRule="auto"/>
        <w:ind w:firstLine="584" w:firstLineChars="200"/>
        <w:textAlignment w:val="auto"/>
        <w:rPr>
          <w:rFonts w:hint="eastAsia" w:ascii="仿宋_GB2312" w:hAnsi="新宋体" w:eastAsia="仿宋_GB2312"/>
          <w:sz w:val="28"/>
          <w:szCs w:val="28"/>
          <w:lang w:val="en-US" w:eastAsia="zh-CN"/>
        </w:rPr>
      </w:pPr>
      <w:r>
        <w:rPr>
          <w:rFonts w:hint="eastAsia" w:ascii="仿宋_GB2312" w:eastAsia="仿宋_GB2312"/>
          <w:spacing w:val="6"/>
          <w:sz w:val="28"/>
          <w:lang w:val="en-US" w:eastAsia="zh-CN"/>
        </w:rPr>
        <w:t>商业用房</w:t>
      </w:r>
      <w:r>
        <w:rPr>
          <w:rFonts w:hint="eastAsia" w:ascii="仿宋_GB2312" w:eastAsia="仿宋_GB2312"/>
          <w:spacing w:val="6"/>
          <w:sz w:val="28"/>
        </w:rPr>
        <w:t>于价值时点基本情况如下：基础牢固，没有不均匀沉降现象；承重构件及非承重构件均完好，无损坏；房屋外墙为</w:t>
      </w:r>
      <w:r>
        <w:rPr>
          <w:rFonts w:hint="eastAsia" w:ascii="仿宋_GB2312" w:eastAsia="仿宋_GB2312"/>
          <w:spacing w:val="6"/>
          <w:sz w:val="28"/>
          <w:lang w:val="en-US" w:eastAsia="zh-CN"/>
        </w:rPr>
        <w:t>瓷砖外墙</w:t>
      </w:r>
      <w:r>
        <w:rPr>
          <w:rFonts w:hint="eastAsia" w:ascii="仿宋_GB2312" w:eastAsia="仿宋_GB2312"/>
          <w:spacing w:val="6"/>
          <w:sz w:val="28"/>
        </w:rPr>
        <w:t>；</w:t>
      </w:r>
      <w:r>
        <w:rPr>
          <w:rFonts w:hint="eastAsia" w:ascii="仿宋_GB2312" w:eastAsia="仿宋_GB2312"/>
          <w:spacing w:val="6"/>
          <w:sz w:val="28"/>
          <w:lang w:val="en-US" w:eastAsia="zh-CN"/>
        </w:rPr>
        <w:t>入户门为卷闸门</w:t>
      </w:r>
      <w:r>
        <w:rPr>
          <w:rFonts w:hint="eastAsia" w:ascii="仿宋_GB2312" w:eastAsia="仿宋_GB2312"/>
          <w:spacing w:val="6"/>
          <w:sz w:val="28"/>
          <w:lang w:eastAsia="zh-CN"/>
        </w:rPr>
        <w:t>，</w:t>
      </w:r>
      <w:r>
        <w:rPr>
          <w:rFonts w:hint="eastAsia" w:ascii="仿宋_GB2312" w:eastAsia="仿宋_GB2312"/>
          <w:spacing w:val="6"/>
          <w:sz w:val="28"/>
          <w:lang w:val="en-US" w:eastAsia="zh-CN"/>
        </w:rPr>
        <w:t>室内地面铺设地砖，墙面为乳胶漆，</w:t>
      </w:r>
      <w:r>
        <w:rPr>
          <w:rFonts w:hint="eastAsia" w:ascii="仿宋_GB2312" w:hAnsi="新宋体" w:eastAsia="仿宋_GB2312"/>
          <w:sz w:val="28"/>
          <w:szCs w:val="28"/>
        </w:rPr>
        <w:t>室内供水、供电正常</w:t>
      </w:r>
      <w:r>
        <w:rPr>
          <w:rFonts w:hint="eastAsia" w:ascii="仿宋_GB2312" w:hAnsi="新宋体" w:eastAsia="仿宋_GB2312"/>
          <w:sz w:val="28"/>
          <w:szCs w:val="28"/>
          <w:lang w:eastAsia="zh-CN"/>
        </w:rPr>
        <w:t>。</w:t>
      </w:r>
    </w:p>
    <w:p>
      <w:pPr>
        <w:keepNext w:val="0"/>
        <w:keepLines w:val="0"/>
        <w:pageBreakBefore w:val="0"/>
        <w:kinsoku/>
        <w:wordWrap/>
        <w:overflowPunct/>
        <w:topLinePunct w:val="0"/>
        <w:autoSpaceDE/>
        <w:autoSpaceDN/>
        <w:bidi w:val="0"/>
        <w:adjustRightInd/>
        <w:snapToGrid/>
        <w:spacing w:line="360" w:lineRule="auto"/>
        <w:ind w:firstLine="562" w:firstLineChars="200"/>
        <w:textAlignment w:val="auto"/>
        <w:rPr>
          <w:rFonts w:hint="eastAsia" w:ascii="仿宋_GB2312" w:hAnsi="仿宋" w:eastAsia="仿宋_GB2312"/>
          <w:b/>
          <w:bCs/>
          <w:color w:val="auto"/>
          <w:sz w:val="28"/>
          <w:szCs w:val="28"/>
          <w:highlight w:val="none"/>
        </w:rPr>
      </w:pPr>
      <w:r>
        <w:rPr>
          <w:rFonts w:hint="eastAsia" w:ascii="仿宋_GB2312" w:hAnsi="仿宋" w:eastAsia="仿宋_GB2312"/>
          <w:b/>
          <w:bCs/>
          <w:color w:val="auto"/>
          <w:sz w:val="28"/>
          <w:szCs w:val="28"/>
          <w:highlight w:val="none"/>
        </w:rPr>
        <w:t>五、价值时点</w:t>
      </w:r>
    </w:p>
    <w:p>
      <w:pPr>
        <w:keepNext w:val="0"/>
        <w:keepLines w:val="0"/>
        <w:pageBreakBefore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 w:eastAsia="仿宋_GB2312"/>
          <w:color w:val="auto"/>
          <w:sz w:val="28"/>
          <w:szCs w:val="28"/>
          <w:highlight w:val="none"/>
        </w:rPr>
      </w:pPr>
      <w:r>
        <w:rPr>
          <w:rFonts w:hint="eastAsia" w:ascii="仿宋_GB2312" w:hAnsi="仿宋" w:eastAsia="仿宋_GB2312"/>
          <w:color w:val="auto"/>
          <w:sz w:val="28"/>
          <w:szCs w:val="28"/>
          <w:highlight w:val="none"/>
        </w:rPr>
        <w:t>价值时点是</w:t>
      </w:r>
      <w:r>
        <w:rPr>
          <w:rFonts w:hint="eastAsia" w:ascii="仿宋_GB2312" w:hAnsi="仿宋" w:eastAsia="仿宋_GB2312"/>
          <w:color w:val="auto"/>
          <w:sz w:val="28"/>
          <w:szCs w:val="28"/>
          <w:highlight w:val="none"/>
          <w:lang w:eastAsia="zh-CN"/>
        </w:rPr>
        <w:t>二○二四年四月二十五日</w:t>
      </w:r>
      <w:r>
        <w:rPr>
          <w:rFonts w:hint="eastAsia" w:ascii="仿宋_GB2312" w:hAnsi="仿宋" w:eastAsia="仿宋_GB2312"/>
          <w:color w:val="auto"/>
          <w:sz w:val="28"/>
          <w:szCs w:val="28"/>
          <w:highlight w:val="none"/>
        </w:rPr>
        <w:t>，为注册房地产估价师完成对估价对象的实地查勘之日。</w:t>
      </w:r>
    </w:p>
    <w:p>
      <w:pPr>
        <w:keepNext w:val="0"/>
        <w:keepLines w:val="0"/>
        <w:pageBreakBefore w:val="0"/>
        <w:kinsoku/>
        <w:wordWrap/>
        <w:overflowPunct/>
        <w:topLinePunct w:val="0"/>
        <w:autoSpaceDE/>
        <w:autoSpaceDN/>
        <w:bidi w:val="0"/>
        <w:adjustRightInd/>
        <w:snapToGrid/>
        <w:spacing w:line="360" w:lineRule="auto"/>
        <w:ind w:firstLine="562" w:firstLineChars="200"/>
        <w:textAlignment w:val="auto"/>
        <w:rPr>
          <w:rFonts w:hint="eastAsia" w:ascii="仿宋_GB2312" w:hAnsi="仿宋" w:eastAsia="仿宋_GB2312"/>
          <w:b/>
          <w:bCs/>
          <w:color w:val="auto"/>
          <w:sz w:val="28"/>
          <w:szCs w:val="28"/>
          <w:highlight w:val="none"/>
        </w:rPr>
      </w:pPr>
      <w:r>
        <w:rPr>
          <w:rFonts w:hint="eastAsia" w:ascii="仿宋_GB2312" w:hAnsi="仿宋" w:eastAsia="仿宋_GB2312"/>
          <w:b/>
          <w:bCs/>
          <w:color w:val="auto"/>
          <w:sz w:val="28"/>
          <w:szCs w:val="28"/>
          <w:highlight w:val="none"/>
        </w:rPr>
        <w:t>六、价值类型</w:t>
      </w:r>
    </w:p>
    <w:p>
      <w:pPr>
        <w:keepNext w:val="0"/>
        <w:keepLines w:val="0"/>
        <w:pageBreakBefore w:val="0"/>
        <w:kinsoku/>
        <w:wordWrap/>
        <w:overflowPunct/>
        <w:topLinePunct w:val="0"/>
        <w:autoSpaceDE/>
        <w:autoSpaceDN/>
        <w:bidi w:val="0"/>
        <w:adjustRightInd/>
        <w:snapToGrid/>
        <w:spacing w:line="360" w:lineRule="auto"/>
        <w:ind w:firstLine="560" w:firstLineChars="200"/>
        <w:textAlignment w:val="auto"/>
        <w:rPr>
          <w:rFonts w:ascii="仿宋_GB2312" w:hAnsi="新宋体" w:eastAsia="仿宋_GB2312"/>
          <w:sz w:val="28"/>
        </w:rPr>
      </w:pPr>
      <w:r>
        <w:rPr>
          <w:rFonts w:hint="eastAsia" w:ascii="仿宋_GB2312" w:hAnsi="新宋体" w:eastAsia="仿宋_GB2312"/>
          <w:sz w:val="28"/>
        </w:rPr>
        <w:t>本估价报告结果为估价对象于价值时点完整权利状态及满足各项假设限制条件的现行状况、现行规划用途下之公开市场价值，没有考虑政府对未来房地产市场的宏观调控政策、城市规划限制条件、未来房地产市场变化以及不可抗力等风险性因素对房地产租赁价格的影响。</w:t>
      </w:r>
    </w:p>
    <w:p>
      <w:pPr>
        <w:keepNext w:val="0"/>
        <w:keepLines w:val="0"/>
        <w:pageBreakBefore w:val="0"/>
        <w:kinsoku/>
        <w:wordWrap/>
        <w:overflowPunct/>
        <w:topLinePunct w:val="0"/>
        <w:autoSpaceDE/>
        <w:autoSpaceDN/>
        <w:bidi w:val="0"/>
        <w:adjustRightInd/>
        <w:snapToGrid/>
        <w:spacing w:line="360" w:lineRule="auto"/>
        <w:ind w:firstLine="562" w:firstLineChars="200"/>
        <w:textAlignment w:val="auto"/>
        <w:rPr>
          <w:rFonts w:hint="eastAsia" w:ascii="仿宋_GB2312" w:hAnsi="仿宋" w:eastAsia="仿宋_GB2312"/>
          <w:b/>
          <w:bCs/>
          <w:color w:val="auto"/>
          <w:sz w:val="28"/>
          <w:szCs w:val="28"/>
          <w:highlight w:val="none"/>
        </w:rPr>
      </w:pPr>
      <w:r>
        <w:rPr>
          <w:rFonts w:hint="eastAsia" w:ascii="仿宋_GB2312" w:hAnsi="仿宋" w:eastAsia="仿宋_GB2312"/>
          <w:b/>
          <w:bCs/>
          <w:color w:val="auto"/>
          <w:sz w:val="28"/>
          <w:szCs w:val="28"/>
          <w:highlight w:val="none"/>
        </w:rPr>
        <w:t>七、估价原则</w:t>
      </w:r>
    </w:p>
    <w:p>
      <w:pPr>
        <w:keepNext w:val="0"/>
        <w:keepLines w:val="0"/>
        <w:pageBreakBefore w:val="0"/>
        <w:kinsoku/>
        <w:wordWrap/>
        <w:overflowPunct/>
        <w:topLinePunct w:val="0"/>
        <w:autoSpaceDE/>
        <w:autoSpaceDN/>
        <w:bidi w:val="0"/>
        <w:adjustRightInd/>
        <w:snapToGrid/>
        <w:spacing w:line="360" w:lineRule="auto"/>
        <w:ind w:firstLine="560" w:firstLineChars="200"/>
        <w:textAlignment w:val="auto"/>
        <w:rPr>
          <w:rFonts w:ascii="仿宋_GB2312" w:hAnsi="新宋体" w:eastAsia="仿宋_GB2312"/>
          <w:sz w:val="28"/>
        </w:rPr>
      </w:pPr>
      <w:r>
        <w:rPr>
          <w:rFonts w:hint="eastAsia" w:ascii="仿宋_GB2312" w:eastAsia="仿宋_GB2312"/>
          <w:sz w:val="28"/>
        </w:rPr>
        <w:t>1、独立、客观、公正原则</w:t>
      </w:r>
    </w:p>
    <w:p>
      <w:pPr>
        <w:keepNext w:val="0"/>
        <w:keepLines w:val="0"/>
        <w:pageBreakBefore w:val="0"/>
        <w:kinsoku/>
        <w:wordWrap/>
        <w:overflowPunct/>
        <w:topLinePunct w:val="0"/>
        <w:autoSpaceDE/>
        <w:autoSpaceDN/>
        <w:bidi w:val="0"/>
        <w:adjustRightInd/>
        <w:snapToGrid/>
        <w:spacing w:line="360" w:lineRule="auto"/>
        <w:ind w:firstLine="560" w:firstLineChars="200"/>
        <w:textAlignment w:val="auto"/>
        <w:rPr>
          <w:rFonts w:ascii="仿宋_GB2312" w:hAnsi="新宋体" w:eastAsia="仿宋_GB2312"/>
          <w:sz w:val="28"/>
        </w:rPr>
      </w:pPr>
      <w:r>
        <w:rPr>
          <w:rFonts w:hint="eastAsia" w:ascii="仿宋_GB2312" w:hAnsi="新宋体" w:eastAsia="仿宋_GB2312"/>
          <w:sz w:val="28"/>
        </w:rPr>
        <w:t>独立、客观、公正原则要求站在中立的立场上，实事求是、公平正直地评估出对各方估价利害关系人均是公平合理的价值或价格的原则。</w:t>
      </w:r>
    </w:p>
    <w:p>
      <w:pPr>
        <w:keepNext w:val="0"/>
        <w:keepLines w:val="0"/>
        <w:pageBreakBefore w:val="0"/>
        <w:kinsoku/>
        <w:wordWrap/>
        <w:overflowPunct/>
        <w:topLinePunct w:val="0"/>
        <w:autoSpaceDE/>
        <w:autoSpaceDN/>
        <w:bidi w:val="0"/>
        <w:adjustRightInd/>
        <w:snapToGrid/>
        <w:spacing w:line="360" w:lineRule="auto"/>
        <w:ind w:firstLine="560" w:firstLineChars="200"/>
        <w:textAlignment w:val="auto"/>
        <w:rPr>
          <w:rFonts w:ascii="仿宋_GB2312" w:hAnsi="新宋体" w:eastAsia="仿宋_GB2312"/>
          <w:sz w:val="28"/>
        </w:rPr>
      </w:pPr>
      <w:r>
        <w:rPr>
          <w:rFonts w:hint="eastAsia" w:ascii="仿宋_GB2312" w:hAnsi="新宋体" w:eastAsia="仿宋_GB2312"/>
          <w:sz w:val="28"/>
        </w:rPr>
        <w:t>2、合法原则</w:t>
      </w:r>
    </w:p>
    <w:p>
      <w:pPr>
        <w:keepNext w:val="0"/>
        <w:keepLines w:val="0"/>
        <w:pageBreakBefore w:val="0"/>
        <w:kinsoku/>
        <w:wordWrap/>
        <w:overflowPunct/>
        <w:topLinePunct w:val="0"/>
        <w:autoSpaceDE/>
        <w:autoSpaceDN/>
        <w:bidi w:val="0"/>
        <w:adjustRightInd/>
        <w:snapToGrid/>
        <w:spacing w:line="360" w:lineRule="auto"/>
        <w:ind w:firstLine="560" w:firstLineChars="200"/>
        <w:textAlignment w:val="auto"/>
        <w:rPr>
          <w:rFonts w:ascii="仿宋_GB2312" w:hAnsi="新宋体" w:eastAsia="仿宋_GB2312"/>
          <w:sz w:val="28"/>
        </w:rPr>
      </w:pPr>
      <w:r>
        <w:rPr>
          <w:rFonts w:hint="eastAsia" w:ascii="仿宋_GB2312" w:hAnsi="新宋体" w:eastAsia="仿宋_GB2312"/>
          <w:sz w:val="28"/>
        </w:rPr>
        <w:t>合法原则要求估价结果是在依法判定的估价对象状况下的价值或价格的原则。所谓合法，是指符合国家的法律、法规和当地政府的有关规定。一是要求在估价时必须确认估价对象具有合法产权，二是要求在估价时所涉及的估价对象用途必须是合法的，三是要求在估价中如果涉及估价对象的交易或处分方式时，该交易或处分方式必须是合法的。</w:t>
      </w:r>
    </w:p>
    <w:p>
      <w:pPr>
        <w:keepNext w:val="0"/>
        <w:keepLines w:val="0"/>
        <w:pageBreakBefore w:val="0"/>
        <w:kinsoku/>
        <w:wordWrap/>
        <w:overflowPunct/>
        <w:topLinePunct w:val="0"/>
        <w:autoSpaceDE/>
        <w:autoSpaceDN/>
        <w:bidi w:val="0"/>
        <w:adjustRightInd/>
        <w:snapToGrid/>
        <w:spacing w:line="360" w:lineRule="auto"/>
        <w:ind w:firstLine="560" w:firstLineChars="200"/>
        <w:textAlignment w:val="auto"/>
        <w:rPr>
          <w:rFonts w:ascii="仿宋_GB2312" w:hAnsi="新宋体" w:eastAsia="仿宋_GB2312"/>
          <w:sz w:val="28"/>
        </w:rPr>
      </w:pPr>
      <w:r>
        <w:rPr>
          <w:rFonts w:hint="eastAsia" w:ascii="仿宋_GB2312" w:hAnsi="新宋体" w:eastAsia="仿宋_GB2312"/>
          <w:sz w:val="28"/>
        </w:rPr>
        <w:t>3、价值时点原则</w:t>
      </w:r>
    </w:p>
    <w:p>
      <w:pPr>
        <w:keepNext w:val="0"/>
        <w:keepLines w:val="0"/>
        <w:pageBreakBefore w:val="0"/>
        <w:kinsoku/>
        <w:wordWrap/>
        <w:overflowPunct/>
        <w:topLinePunct w:val="0"/>
        <w:autoSpaceDE/>
        <w:autoSpaceDN/>
        <w:bidi w:val="0"/>
        <w:adjustRightInd/>
        <w:snapToGrid/>
        <w:spacing w:line="360" w:lineRule="auto"/>
        <w:ind w:firstLine="560" w:firstLineChars="200"/>
        <w:textAlignment w:val="auto"/>
        <w:rPr>
          <w:rFonts w:ascii="仿宋_GB2312" w:hAnsi="新宋体" w:eastAsia="仿宋_GB2312"/>
          <w:sz w:val="28"/>
        </w:rPr>
      </w:pPr>
      <w:r>
        <w:rPr>
          <w:rFonts w:hint="eastAsia" w:ascii="仿宋_GB2312" w:hAnsi="新宋体" w:eastAsia="仿宋_GB2312"/>
          <w:sz w:val="28"/>
        </w:rPr>
        <w:t>价值时点原则是要求估价结果是在根据估价目的的确定的某一特定时间的价值或价格的原则。强调估价结论具有很强的时间相关性和时效性。</w:t>
      </w:r>
    </w:p>
    <w:p>
      <w:pPr>
        <w:keepNext w:val="0"/>
        <w:keepLines w:val="0"/>
        <w:pageBreakBefore w:val="0"/>
        <w:kinsoku/>
        <w:wordWrap/>
        <w:overflowPunct/>
        <w:topLinePunct w:val="0"/>
        <w:autoSpaceDE/>
        <w:autoSpaceDN/>
        <w:bidi w:val="0"/>
        <w:adjustRightInd/>
        <w:snapToGrid/>
        <w:spacing w:line="360" w:lineRule="auto"/>
        <w:ind w:firstLine="560" w:firstLineChars="200"/>
        <w:textAlignment w:val="auto"/>
        <w:rPr>
          <w:rFonts w:ascii="仿宋_GB2312" w:hAnsi="新宋体" w:eastAsia="仿宋_GB2312"/>
          <w:sz w:val="28"/>
        </w:rPr>
      </w:pPr>
      <w:r>
        <w:rPr>
          <w:rFonts w:hint="eastAsia" w:ascii="仿宋_GB2312" w:hAnsi="新宋体" w:eastAsia="仿宋_GB2312"/>
          <w:sz w:val="28"/>
        </w:rPr>
        <w:t>4、替代原则</w:t>
      </w:r>
    </w:p>
    <w:p>
      <w:pPr>
        <w:keepNext w:val="0"/>
        <w:keepLines w:val="0"/>
        <w:pageBreakBefore w:val="0"/>
        <w:kinsoku/>
        <w:wordWrap/>
        <w:overflowPunct/>
        <w:topLinePunct w:val="0"/>
        <w:autoSpaceDE/>
        <w:autoSpaceDN/>
        <w:bidi w:val="0"/>
        <w:adjustRightInd/>
        <w:snapToGrid/>
        <w:spacing w:line="360" w:lineRule="auto"/>
        <w:ind w:firstLine="560" w:firstLineChars="200"/>
        <w:textAlignment w:val="auto"/>
        <w:rPr>
          <w:rFonts w:ascii="仿宋_GB2312" w:hAnsi="新宋体" w:eastAsia="仿宋_GB2312"/>
          <w:sz w:val="28"/>
        </w:rPr>
      </w:pPr>
      <w:r>
        <w:rPr>
          <w:rFonts w:hint="eastAsia" w:ascii="仿宋_GB2312" w:hAnsi="新宋体" w:eastAsia="仿宋_GB2312"/>
          <w:sz w:val="28"/>
        </w:rPr>
        <w:t>替代原则是要求估价结果与估价对象的类似房地产在同等条件下的价值或价格偏差在合理范围内的原则。替代原则要求房地产估价结果不得明显偏离类似房地产在同等条件下的正常价格。</w:t>
      </w:r>
    </w:p>
    <w:p>
      <w:pPr>
        <w:keepNext w:val="0"/>
        <w:keepLines w:val="0"/>
        <w:pageBreakBefore w:val="0"/>
        <w:kinsoku/>
        <w:wordWrap/>
        <w:overflowPunct/>
        <w:topLinePunct w:val="0"/>
        <w:autoSpaceDE/>
        <w:autoSpaceDN/>
        <w:bidi w:val="0"/>
        <w:adjustRightInd/>
        <w:snapToGrid/>
        <w:spacing w:line="360" w:lineRule="auto"/>
        <w:ind w:firstLine="560" w:firstLineChars="200"/>
        <w:textAlignment w:val="auto"/>
        <w:rPr>
          <w:rFonts w:ascii="仿宋_GB2312" w:hAnsi="新宋体" w:eastAsia="仿宋_GB2312"/>
          <w:sz w:val="28"/>
        </w:rPr>
      </w:pPr>
      <w:r>
        <w:rPr>
          <w:rFonts w:hint="eastAsia" w:ascii="仿宋_GB2312" w:hAnsi="新宋体" w:eastAsia="仿宋_GB2312"/>
          <w:sz w:val="28"/>
        </w:rPr>
        <w:t>5、最高最佳利用原则</w:t>
      </w:r>
    </w:p>
    <w:p>
      <w:pPr>
        <w:keepNext w:val="0"/>
        <w:keepLines w:val="0"/>
        <w:pageBreakBefore w:val="0"/>
        <w:kinsoku/>
        <w:wordWrap/>
        <w:overflowPunct/>
        <w:topLinePunct w:val="0"/>
        <w:autoSpaceDE/>
        <w:autoSpaceDN/>
        <w:bidi w:val="0"/>
        <w:adjustRightInd/>
        <w:snapToGrid/>
        <w:spacing w:line="360" w:lineRule="auto"/>
        <w:ind w:firstLine="560" w:firstLineChars="200"/>
        <w:textAlignment w:val="auto"/>
      </w:pPr>
      <w:r>
        <w:rPr>
          <w:rFonts w:hint="eastAsia" w:ascii="仿宋_GB2312" w:hAnsi="新宋体" w:eastAsia="仿宋_GB2312"/>
          <w:sz w:val="28"/>
        </w:rPr>
        <w:t>最高最佳利用原则是要求估价结果是在估价对象最高最佳利用状况下的价值和价格的原则。</w:t>
      </w:r>
      <w:r>
        <w:rPr>
          <w:rFonts w:hint="eastAsia" w:eastAsia="仿宋_GB2312"/>
          <w:sz w:val="28"/>
        </w:rPr>
        <w:t>由于房地产具有用途的多样性，不同的利用方式能为权利人带来不同收益量，且房地产权利人都期望从其所占有房地产上获得更多的收益，并以能满足这一目的为确定房地产利用方式的依据，所以房地产价值是该房地产的效用发挥为前提的。</w:t>
      </w:r>
    </w:p>
    <w:p>
      <w:pPr>
        <w:keepNext w:val="0"/>
        <w:keepLines w:val="0"/>
        <w:pageBreakBefore w:val="0"/>
        <w:kinsoku/>
        <w:wordWrap/>
        <w:overflowPunct/>
        <w:topLinePunct w:val="0"/>
        <w:autoSpaceDE/>
        <w:autoSpaceDN/>
        <w:bidi w:val="0"/>
        <w:adjustRightInd/>
        <w:snapToGrid/>
        <w:spacing w:line="360" w:lineRule="auto"/>
        <w:ind w:firstLine="562" w:firstLineChars="200"/>
        <w:textAlignment w:val="auto"/>
        <w:rPr>
          <w:rFonts w:hint="eastAsia" w:ascii="仿宋_GB2312" w:hAnsi="仿宋" w:eastAsia="仿宋_GB2312"/>
          <w:b/>
          <w:bCs/>
          <w:color w:val="auto"/>
          <w:sz w:val="28"/>
          <w:szCs w:val="28"/>
          <w:highlight w:val="none"/>
        </w:rPr>
      </w:pPr>
      <w:r>
        <w:rPr>
          <w:rFonts w:hint="eastAsia" w:ascii="仿宋_GB2312" w:hAnsi="仿宋" w:eastAsia="仿宋_GB2312"/>
          <w:b/>
          <w:bCs/>
          <w:color w:val="auto"/>
          <w:sz w:val="28"/>
          <w:szCs w:val="28"/>
          <w:highlight w:val="none"/>
        </w:rPr>
        <w:t>八、估价依据</w:t>
      </w:r>
    </w:p>
    <w:p>
      <w:pPr>
        <w:keepNext w:val="0"/>
        <w:keepLines w:val="0"/>
        <w:pageBreakBefore w:val="0"/>
        <w:kinsoku/>
        <w:wordWrap/>
        <w:overflowPunct/>
        <w:topLinePunct w:val="0"/>
        <w:autoSpaceDE/>
        <w:autoSpaceDN/>
        <w:bidi w:val="0"/>
        <w:adjustRightInd/>
        <w:snapToGrid/>
        <w:spacing w:line="360" w:lineRule="auto"/>
        <w:ind w:firstLine="560" w:firstLineChars="200"/>
        <w:textAlignment w:val="auto"/>
        <w:rPr>
          <w:rFonts w:ascii="仿宋_GB2312" w:hAnsi="新宋体" w:eastAsia="仿宋_GB2312"/>
          <w:sz w:val="28"/>
        </w:rPr>
      </w:pPr>
      <w:r>
        <w:rPr>
          <w:rFonts w:hint="eastAsia" w:ascii="仿宋_GB2312" w:eastAsia="仿宋_GB2312"/>
          <w:sz w:val="28"/>
          <w:lang w:eastAsia="zh-CN"/>
        </w:rPr>
        <w:t>（</w:t>
      </w:r>
      <w:r>
        <w:rPr>
          <w:rFonts w:hint="eastAsia" w:ascii="仿宋_GB2312" w:eastAsia="仿宋_GB2312"/>
          <w:sz w:val="28"/>
          <w:lang w:val="en-US" w:eastAsia="zh-CN"/>
        </w:rPr>
        <w:t>一</w:t>
      </w:r>
      <w:r>
        <w:rPr>
          <w:rFonts w:hint="eastAsia" w:ascii="仿宋_GB2312" w:eastAsia="仿宋_GB2312"/>
          <w:sz w:val="28"/>
          <w:lang w:eastAsia="zh-CN"/>
        </w:rPr>
        <w:t>）、</w:t>
      </w:r>
      <w:r>
        <w:rPr>
          <w:rFonts w:hint="eastAsia" w:ascii="仿宋_GB2312" w:eastAsia="仿宋_GB2312"/>
          <w:sz w:val="28"/>
        </w:rPr>
        <w:t>法律、法规和政策文件</w:t>
      </w:r>
    </w:p>
    <w:p>
      <w:pPr>
        <w:keepNext w:val="0"/>
        <w:keepLines w:val="0"/>
        <w:pageBreakBefore w:val="0"/>
        <w:kinsoku/>
        <w:wordWrap/>
        <w:overflowPunct/>
        <w:topLinePunct w:val="0"/>
        <w:autoSpaceDE/>
        <w:autoSpaceDN/>
        <w:bidi w:val="0"/>
        <w:adjustRightInd/>
        <w:snapToGrid/>
        <w:spacing w:line="360" w:lineRule="auto"/>
        <w:ind w:firstLine="560" w:firstLineChars="200"/>
        <w:textAlignment w:val="auto"/>
        <w:rPr>
          <w:rFonts w:ascii="仿宋_GB2312" w:hAnsi="新宋体" w:eastAsia="仿宋_GB2312"/>
          <w:sz w:val="28"/>
        </w:rPr>
      </w:pPr>
      <w:r>
        <w:rPr>
          <w:rFonts w:hint="eastAsia" w:ascii="仿宋_GB2312" w:hAnsi="新宋体" w:eastAsia="仿宋_GB2312"/>
          <w:sz w:val="28"/>
        </w:rPr>
        <w:t>1.《中华人民共和国城市房地产管理法》。</w:t>
      </w:r>
    </w:p>
    <w:p>
      <w:pPr>
        <w:keepNext w:val="0"/>
        <w:keepLines w:val="0"/>
        <w:pageBreakBefore w:val="0"/>
        <w:kinsoku/>
        <w:wordWrap/>
        <w:overflowPunct/>
        <w:topLinePunct w:val="0"/>
        <w:autoSpaceDE/>
        <w:autoSpaceDN/>
        <w:bidi w:val="0"/>
        <w:adjustRightInd/>
        <w:snapToGrid/>
        <w:spacing w:line="360" w:lineRule="auto"/>
        <w:ind w:firstLine="560" w:firstLineChars="200"/>
        <w:textAlignment w:val="auto"/>
        <w:rPr>
          <w:rFonts w:ascii="仿宋_GB2312" w:eastAsia="仿宋_GB2312"/>
          <w:sz w:val="28"/>
        </w:rPr>
      </w:pPr>
      <w:r>
        <w:rPr>
          <w:rFonts w:hint="eastAsia" w:ascii="仿宋_GB2312" w:eastAsia="仿宋_GB2312"/>
          <w:sz w:val="28"/>
        </w:rPr>
        <w:t>2</w:t>
      </w:r>
      <w:r>
        <w:rPr>
          <w:rFonts w:hint="eastAsia" w:ascii="仿宋_GB2312" w:hAnsi="新宋体" w:eastAsia="仿宋_GB2312"/>
          <w:sz w:val="28"/>
        </w:rPr>
        <w:t>.《</w:t>
      </w:r>
      <w:r>
        <w:rPr>
          <w:rFonts w:hint="eastAsia" w:ascii="仿宋_GB2312" w:eastAsia="仿宋_GB2312"/>
          <w:sz w:val="28"/>
        </w:rPr>
        <w:t>中华人民共和国土地管理法》。</w:t>
      </w:r>
    </w:p>
    <w:p>
      <w:pPr>
        <w:keepNext w:val="0"/>
        <w:keepLines w:val="0"/>
        <w:pageBreakBefore w:val="0"/>
        <w:kinsoku/>
        <w:wordWrap/>
        <w:overflowPunct/>
        <w:topLinePunct w:val="0"/>
        <w:autoSpaceDE/>
        <w:autoSpaceDN/>
        <w:bidi w:val="0"/>
        <w:adjustRightInd/>
        <w:snapToGrid/>
        <w:spacing w:line="360" w:lineRule="auto"/>
        <w:ind w:firstLine="560" w:firstLineChars="200"/>
        <w:textAlignment w:val="auto"/>
        <w:rPr>
          <w:rFonts w:ascii="仿宋_GB2312" w:hAnsi="新宋体" w:eastAsia="仿宋_GB2312"/>
          <w:sz w:val="28"/>
        </w:rPr>
      </w:pPr>
      <w:r>
        <w:rPr>
          <w:rFonts w:hint="eastAsia" w:ascii="仿宋_GB2312" w:hAnsi="新宋体" w:eastAsia="仿宋_GB2312"/>
          <w:sz w:val="28"/>
        </w:rPr>
        <w:t>3.《中华人民共和国民法典》。</w:t>
      </w:r>
    </w:p>
    <w:p>
      <w:pPr>
        <w:keepNext w:val="0"/>
        <w:keepLines w:val="0"/>
        <w:pageBreakBefore w:val="0"/>
        <w:kinsoku/>
        <w:wordWrap/>
        <w:overflowPunct/>
        <w:topLinePunct w:val="0"/>
        <w:autoSpaceDE/>
        <w:autoSpaceDN/>
        <w:bidi w:val="0"/>
        <w:adjustRightInd/>
        <w:snapToGrid/>
        <w:spacing w:line="360" w:lineRule="auto"/>
        <w:ind w:firstLine="560" w:firstLineChars="200"/>
        <w:textAlignment w:val="auto"/>
        <w:rPr>
          <w:rFonts w:ascii="仿宋_GB2312" w:hAnsi="新宋体" w:eastAsia="仿宋_GB2312"/>
          <w:sz w:val="28"/>
        </w:rPr>
      </w:pPr>
      <w:r>
        <w:rPr>
          <w:rFonts w:hint="eastAsia" w:ascii="仿宋_GB2312" w:hAnsi="新宋体" w:eastAsia="仿宋_GB2312"/>
          <w:sz w:val="28"/>
        </w:rPr>
        <w:t>4.《</w:t>
      </w:r>
      <w:r>
        <w:rPr>
          <w:rFonts w:hint="eastAsia" w:ascii="仿宋_GB2312" w:eastAsia="仿宋_GB2312"/>
          <w:sz w:val="28"/>
        </w:rPr>
        <w:t>中华人民共和国土地管理法实施条例》（国务院令第256号）。</w:t>
      </w:r>
    </w:p>
    <w:p>
      <w:pPr>
        <w:keepNext w:val="0"/>
        <w:keepLines w:val="0"/>
        <w:pageBreakBefore w:val="0"/>
        <w:kinsoku/>
        <w:wordWrap/>
        <w:overflowPunct/>
        <w:topLinePunct w:val="0"/>
        <w:autoSpaceDE/>
        <w:autoSpaceDN/>
        <w:bidi w:val="0"/>
        <w:adjustRightInd/>
        <w:snapToGrid/>
        <w:spacing w:line="360" w:lineRule="auto"/>
        <w:ind w:firstLine="560" w:firstLineChars="200"/>
        <w:textAlignment w:val="auto"/>
        <w:rPr>
          <w:rFonts w:eastAsia="仿宋_GB2312"/>
          <w:sz w:val="28"/>
        </w:rPr>
      </w:pPr>
      <w:r>
        <w:rPr>
          <w:rFonts w:hint="eastAsia" w:ascii="仿宋_GB2312" w:eastAsia="仿宋_GB2312"/>
          <w:sz w:val="28"/>
        </w:rPr>
        <w:t>5</w:t>
      </w:r>
      <w:r>
        <w:rPr>
          <w:rFonts w:hint="eastAsia" w:ascii="仿宋_GB2312" w:hAnsi="新宋体" w:eastAsia="仿宋_GB2312"/>
          <w:sz w:val="28"/>
        </w:rPr>
        <w:t>.《</w:t>
      </w:r>
      <w:r>
        <w:rPr>
          <w:rFonts w:hint="eastAsia" w:ascii="仿宋_GB2312" w:eastAsia="仿宋_GB2312"/>
          <w:sz w:val="28"/>
        </w:rPr>
        <w:t>中华人民共和国城镇国有土地使用权出让和转让暂行条例》（国务院[90]55号令）。</w:t>
      </w:r>
    </w:p>
    <w:p>
      <w:pPr>
        <w:keepNext w:val="0"/>
        <w:keepLines w:val="0"/>
        <w:pageBreakBefore w:val="0"/>
        <w:kinsoku/>
        <w:wordWrap/>
        <w:overflowPunct/>
        <w:topLinePunct w:val="0"/>
        <w:autoSpaceDE/>
        <w:autoSpaceDN/>
        <w:bidi w:val="0"/>
        <w:adjustRightInd/>
        <w:snapToGrid/>
        <w:spacing w:line="360" w:lineRule="auto"/>
        <w:ind w:firstLine="560" w:firstLineChars="200"/>
        <w:textAlignment w:val="auto"/>
        <w:rPr>
          <w:rFonts w:ascii="仿宋_GB2312" w:eastAsia="仿宋_GB2312"/>
          <w:sz w:val="28"/>
        </w:rPr>
      </w:pPr>
      <w:r>
        <w:rPr>
          <w:rFonts w:hint="eastAsia" w:ascii="仿宋_GB2312" w:eastAsia="仿宋_GB2312"/>
          <w:sz w:val="28"/>
        </w:rPr>
        <w:t>6</w:t>
      </w:r>
      <w:r>
        <w:rPr>
          <w:rFonts w:hint="eastAsia" w:ascii="仿宋_GB2312" w:hAnsi="新宋体" w:eastAsia="仿宋_GB2312"/>
          <w:sz w:val="28"/>
        </w:rPr>
        <w:t>.《不动产登记暂行条例》（</w:t>
      </w:r>
      <w:r>
        <w:rPr>
          <w:rFonts w:hint="eastAsia" w:ascii="仿宋_GB2312" w:hAnsi="新宋体" w:eastAsia="仿宋_GB2312"/>
          <w:kern w:val="0"/>
          <w:sz w:val="28"/>
        </w:rPr>
        <w:t>中华人民共和国国务院令第656号</w:t>
      </w:r>
      <w:r>
        <w:rPr>
          <w:rFonts w:hint="eastAsia" w:ascii="仿宋_GB2312" w:hAnsi="新宋体" w:eastAsia="仿宋_GB2312"/>
          <w:sz w:val="28"/>
        </w:rPr>
        <w:t>）。</w:t>
      </w:r>
    </w:p>
    <w:p>
      <w:pPr>
        <w:keepNext w:val="0"/>
        <w:keepLines w:val="0"/>
        <w:pageBreakBefore w:val="0"/>
        <w:kinsoku/>
        <w:wordWrap/>
        <w:overflowPunct/>
        <w:topLinePunct w:val="0"/>
        <w:autoSpaceDE/>
        <w:autoSpaceDN/>
        <w:bidi w:val="0"/>
        <w:adjustRightInd/>
        <w:snapToGrid/>
        <w:spacing w:line="360" w:lineRule="auto"/>
        <w:ind w:firstLine="560" w:firstLineChars="200"/>
        <w:textAlignment w:val="auto"/>
        <w:rPr>
          <w:rFonts w:ascii="仿宋_GB2312" w:hAnsi="新宋体" w:eastAsia="仿宋_GB2312"/>
          <w:sz w:val="28"/>
        </w:rPr>
      </w:pPr>
      <w:r>
        <w:rPr>
          <w:rFonts w:hint="eastAsia" w:ascii="仿宋_GB2312" w:hAnsi="新宋体" w:eastAsia="仿宋_GB2312"/>
          <w:sz w:val="28"/>
          <w:lang w:eastAsia="zh-CN"/>
        </w:rPr>
        <w:t>（</w:t>
      </w:r>
      <w:r>
        <w:rPr>
          <w:rFonts w:hint="eastAsia" w:ascii="仿宋_GB2312" w:hAnsi="新宋体" w:eastAsia="仿宋_GB2312"/>
          <w:sz w:val="28"/>
          <w:lang w:val="en-US" w:eastAsia="zh-CN"/>
        </w:rPr>
        <w:t>二</w:t>
      </w:r>
      <w:r>
        <w:rPr>
          <w:rFonts w:hint="eastAsia" w:ascii="仿宋_GB2312" w:hAnsi="新宋体" w:eastAsia="仿宋_GB2312"/>
          <w:sz w:val="28"/>
          <w:lang w:eastAsia="zh-CN"/>
        </w:rPr>
        <w:t>）、</w:t>
      </w:r>
      <w:r>
        <w:rPr>
          <w:rFonts w:hint="eastAsia" w:ascii="仿宋_GB2312" w:hAnsi="新宋体" w:eastAsia="仿宋_GB2312"/>
          <w:sz w:val="28"/>
        </w:rPr>
        <w:t>技术规程</w:t>
      </w:r>
    </w:p>
    <w:p>
      <w:pPr>
        <w:keepNext w:val="0"/>
        <w:keepLines w:val="0"/>
        <w:pageBreakBefore w:val="0"/>
        <w:kinsoku/>
        <w:wordWrap/>
        <w:overflowPunct/>
        <w:topLinePunct w:val="0"/>
        <w:autoSpaceDE/>
        <w:autoSpaceDN/>
        <w:bidi w:val="0"/>
        <w:adjustRightInd/>
        <w:snapToGrid/>
        <w:spacing w:line="360" w:lineRule="auto"/>
        <w:ind w:firstLine="560" w:firstLineChars="200"/>
        <w:textAlignment w:val="auto"/>
        <w:rPr>
          <w:rFonts w:ascii="仿宋_GB2312" w:hAnsi="新宋体" w:eastAsia="仿宋_GB2312"/>
          <w:sz w:val="28"/>
        </w:rPr>
      </w:pPr>
      <w:r>
        <w:rPr>
          <w:rFonts w:hint="eastAsia" w:ascii="仿宋_GB2312" w:hAnsi="新宋体" w:eastAsia="仿宋_GB2312"/>
          <w:sz w:val="28"/>
        </w:rPr>
        <w:t>1.中华人民共和国国家标准《</w:t>
      </w:r>
      <w:r>
        <w:rPr>
          <w:rFonts w:hint="eastAsia" w:ascii="仿宋_GB2312" w:hAnsi="仿宋_GB2312" w:eastAsia="仿宋_GB2312"/>
          <w:sz w:val="28"/>
        </w:rPr>
        <w:t>房</w:t>
      </w:r>
      <w:r>
        <w:rPr>
          <w:rFonts w:hint="eastAsia" w:ascii="仿宋_GB2312" w:hAnsi="新宋体" w:eastAsia="仿宋_GB2312"/>
          <w:sz w:val="28"/>
        </w:rPr>
        <w:t>地产估价规范》（GB/T50291-2015）。</w:t>
      </w:r>
    </w:p>
    <w:p>
      <w:pPr>
        <w:keepNext w:val="0"/>
        <w:keepLines w:val="0"/>
        <w:pageBreakBefore w:val="0"/>
        <w:kinsoku/>
        <w:wordWrap/>
        <w:overflowPunct/>
        <w:topLinePunct w:val="0"/>
        <w:autoSpaceDE/>
        <w:autoSpaceDN/>
        <w:bidi w:val="0"/>
        <w:adjustRightInd/>
        <w:snapToGrid/>
        <w:spacing w:line="360" w:lineRule="auto"/>
        <w:ind w:firstLine="560" w:firstLineChars="200"/>
        <w:textAlignment w:val="auto"/>
        <w:rPr>
          <w:rFonts w:ascii="仿宋_GB2312" w:hAnsi="新宋体" w:eastAsia="仿宋_GB2312"/>
          <w:sz w:val="28"/>
        </w:rPr>
      </w:pPr>
      <w:r>
        <w:rPr>
          <w:rFonts w:hint="eastAsia" w:ascii="仿宋_GB2312" w:hAnsi="新宋体" w:eastAsia="仿宋_GB2312"/>
          <w:sz w:val="28"/>
        </w:rPr>
        <w:t>2.中华人民共和国国家标准《房地产估价基本术语标准》（GB/T50899-2013）。</w:t>
      </w:r>
    </w:p>
    <w:p>
      <w:pPr>
        <w:keepNext w:val="0"/>
        <w:keepLines w:val="0"/>
        <w:pageBreakBefore w:val="0"/>
        <w:widowControl/>
        <w:kinsoku/>
        <w:wordWrap/>
        <w:overflowPunct/>
        <w:topLinePunct w:val="0"/>
        <w:autoSpaceDE/>
        <w:autoSpaceDN/>
        <w:bidi w:val="0"/>
        <w:adjustRightInd/>
        <w:snapToGrid/>
        <w:spacing w:line="360" w:lineRule="auto"/>
        <w:ind w:firstLine="560" w:firstLineChars="200"/>
        <w:textAlignment w:val="auto"/>
        <w:rPr>
          <w:rFonts w:hint="eastAsia" w:ascii="仿宋_GB2312" w:hAnsi="仿宋" w:eastAsia="仿宋_GB2312"/>
          <w:color w:val="auto"/>
          <w:sz w:val="28"/>
          <w:szCs w:val="28"/>
          <w:highlight w:val="none"/>
        </w:rPr>
      </w:pPr>
      <w:r>
        <w:rPr>
          <w:rFonts w:hint="eastAsia" w:ascii="仿宋_GB2312" w:hAnsi="仿宋" w:eastAsia="仿宋_GB2312"/>
          <w:color w:val="auto"/>
          <w:sz w:val="28"/>
          <w:szCs w:val="28"/>
          <w:highlight w:val="none"/>
          <w:lang w:eastAsia="zh-CN"/>
        </w:rPr>
        <w:t>（</w:t>
      </w:r>
      <w:r>
        <w:rPr>
          <w:rFonts w:hint="eastAsia" w:ascii="仿宋_GB2312" w:hAnsi="仿宋" w:eastAsia="仿宋_GB2312"/>
          <w:color w:val="auto"/>
          <w:sz w:val="28"/>
          <w:szCs w:val="28"/>
          <w:highlight w:val="none"/>
          <w:lang w:val="en-US" w:eastAsia="zh-CN"/>
        </w:rPr>
        <w:t>三</w:t>
      </w:r>
      <w:r>
        <w:rPr>
          <w:rFonts w:hint="eastAsia" w:ascii="仿宋_GB2312" w:hAnsi="仿宋" w:eastAsia="仿宋_GB2312"/>
          <w:color w:val="auto"/>
          <w:sz w:val="28"/>
          <w:szCs w:val="28"/>
          <w:highlight w:val="none"/>
          <w:lang w:eastAsia="zh-CN"/>
        </w:rPr>
        <w:t>）、</w:t>
      </w:r>
      <w:r>
        <w:rPr>
          <w:rFonts w:hint="eastAsia" w:ascii="仿宋_GB2312" w:hAnsi="仿宋" w:eastAsia="仿宋_GB2312"/>
          <w:color w:val="auto"/>
          <w:sz w:val="28"/>
          <w:szCs w:val="28"/>
          <w:highlight w:val="none"/>
        </w:rPr>
        <w:t>其它</w:t>
      </w:r>
    </w:p>
    <w:p>
      <w:pPr>
        <w:keepNext w:val="0"/>
        <w:keepLines w:val="0"/>
        <w:pageBreakBefore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 w:eastAsia="仿宋_GB2312"/>
          <w:color w:val="auto"/>
          <w:sz w:val="28"/>
          <w:szCs w:val="28"/>
          <w:highlight w:val="none"/>
          <w:lang w:eastAsia="zh-CN"/>
        </w:rPr>
      </w:pPr>
      <w:r>
        <w:rPr>
          <w:rFonts w:hint="eastAsia" w:ascii="仿宋_GB2312" w:hAnsi="新宋体" w:eastAsia="仿宋_GB2312"/>
          <w:sz w:val="28"/>
        </w:rPr>
        <w:t>1.</w:t>
      </w:r>
      <w:r>
        <w:rPr>
          <w:rFonts w:hint="eastAsia" w:ascii="仿宋_GB2312" w:hAnsi="仿宋" w:eastAsia="仿宋_GB2312"/>
          <w:color w:val="auto"/>
          <w:sz w:val="28"/>
          <w:szCs w:val="28"/>
          <w:highlight w:val="none"/>
        </w:rPr>
        <w:t>《房地产估价委托书》</w:t>
      </w:r>
      <w:r>
        <w:rPr>
          <w:rFonts w:hint="eastAsia" w:ascii="仿宋_GB2312" w:hAnsi="仿宋" w:eastAsia="仿宋_GB2312"/>
          <w:color w:val="auto"/>
          <w:sz w:val="28"/>
          <w:szCs w:val="28"/>
          <w:highlight w:val="none"/>
          <w:lang w:eastAsia="zh-CN"/>
        </w:rPr>
        <w:t>；</w:t>
      </w:r>
    </w:p>
    <w:p>
      <w:pPr>
        <w:keepNext w:val="0"/>
        <w:keepLines w:val="0"/>
        <w:pageBreakBefore w:val="0"/>
        <w:kinsoku/>
        <w:wordWrap/>
        <w:overflowPunct/>
        <w:topLinePunct w:val="0"/>
        <w:autoSpaceDE/>
        <w:autoSpaceDN/>
        <w:bidi w:val="0"/>
        <w:adjustRightInd/>
        <w:snapToGrid/>
        <w:spacing w:line="360" w:lineRule="auto"/>
        <w:ind w:firstLine="560" w:firstLineChars="200"/>
        <w:textAlignment w:val="auto"/>
        <w:rPr>
          <w:rFonts w:hint="eastAsia" w:ascii="仿宋_GB2312" w:hAnsi="新宋体" w:eastAsia="仿宋_GB2312"/>
          <w:sz w:val="28"/>
        </w:rPr>
      </w:pPr>
      <w:r>
        <w:rPr>
          <w:rFonts w:hint="eastAsia" w:ascii="仿宋_GB2312" w:hAnsi="新宋体" w:eastAsia="仿宋_GB2312"/>
          <w:sz w:val="28"/>
        </w:rPr>
        <w:t>2.</w:t>
      </w:r>
      <w:r>
        <w:rPr>
          <w:rFonts w:hint="eastAsia" w:ascii="仿宋_GB2312" w:hAnsi="仿宋" w:eastAsia="仿宋_GB2312"/>
          <w:color w:val="auto"/>
          <w:sz w:val="28"/>
          <w:szCs w:val="28"/>
          <w:highlight w:val="none"/>
        </w:rPr>
        <w:t>估价委托人提供的</w:t>
      </w:r>
      <w:r>
        <w:rPr>
          <w:rFonts w:hint="eastAsia" w:ascii="仿宋_GB2312" w:hAnsi="仿宋" w:eastAsia="仿宋_GB2312"/>
          <w:color w:val="auto"/>
          <w:sz w:val="28"/>
          <w:szCs w:val="28"/>
          <w:highlight w:val="none"/>
          <w:lang w:val="en-US" w:eastAsia="zh-CN"/>
        </w:rPr>
        <w:t>的相关资料</w:t>
      </w:r>
      <w:r>
        <w:rPr>
          <w:rFonts w:hint="eastAsia" w:ascii="仿宋_GB2312" w:hAnsi="新宋体" w:eastAsia="仿宋_GB2312"/>
          <w:sz w:val="28"/>
          <w:lang w:val="en-US" w:eastAsia="zh-CN"/>
        </w:rPr>
        <w:t>；</w:t>
      </w:r>
    </w:p>
    <w:p>
      <w:pPr>
        <w:keepNext w:val="0"/>
        <w:keepLines w:val="0"/>
        <w:pageBreakBefore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 w:eastAsia="仿宋_GB2312"/>
          <w:b/>
          <w:bCs/>
          <w:color w:val="auto"/>
          <w:sz w:val="28"/>
          <w:szCs w:val="28"/>
          <w:highlight w:val="none"/>
        </w:rPr>
      </w:pPr>
      <w:r>
        <w:rPr>
          <w:rFonts w:hint="eastAsia" w:ascii="仿宋_GB2312" w:hAnsi="新宋体" w:eastAsia="仿宋_GB2312"/>
          <w:sz w:val="28"/>
          <w:lang w:val="en-US" w:eastAsia="zh-CN"/>
        </w:rPr>
        <w:t>3</w:t>
      </w:r>
      <w:r>
        <w:rPr>
          <w:rFonts w:hint="eastAsia" w:ascii="仿宋_GB2312" w:hAnsi="新宋体" w:eastAsia="仿宋_GB2312"/>
          <w:sz w:val="28"/>
        </w:rPr>
        <w:t>.</w:t>
      </w:r>
      <w:r>
        <w:rPr>
          <w:rFonts w:hint="eastAsia" w:ascii="仿宋_GB2312" w:hAnsi="仿宋" w:eastAsia="仿宋_GB2312"/>
          <w:color w:val="auto"/>
          <w:sz w:val="28"/>
          <w:szCs w:val="28"/>
          <w:highlight w:val="none"/>
        </w:rPr>
        <w:t>房地产估价机构、注册房地产估价师掌握和搜集的估价所需资料。</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_GB2312" w:hAnsi="仿宋" w:eastAsia="仿宋_GB2312"/>
          <w:b/>
          <w:bCs/>
          <w:color w:val="auto"/>
          <w:sz w:val="28"/>
          <w:szCs w:val="28"/>
          <w:highlight w:val="none"/>
        </w:rPr>
      </w:pPr>
      <w:r>
        <w:rPr>
          <w:rFonts w:hint="eastAsia" w:ascii="仿宋_GB2312" w:hAnsi="仿宋" w:eastAsia="仿宋_GB2312"/>
          <w:b/>
          <w:bCs/>
          <w:color w:val="auto"/>
          <w:sz w:val="28"/>
          <w:szCs w:val="28"/>
          <w:highlight w:val="none"/>
        </w:rPr>
        <w:t>九、估价方法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仿宋_GB2312" w:hAnsi="新宋体" w:eastAsia="仿宋_GB2312"/>
          <w:bCs/>
          <w:sz w:val="28"/>
        </w:rPr>
      </w:pPr>
      <w:r>
        <w:rPr>
          <w:rFonts w:hint="eastAsia" w:ascii="仿宋_GB2312" w:hAnsi="新宋体" w:eastAsia="仿宋_GB2312"/>
          <w:bCs/>
          <w:sz w:val="28"/>
        </w:rPr>
        <w:t>一般而言，房地产估价方法主要有比较法、收益法、成本法、假设开发法。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仿宋_GB2312" w:hAnsi="新宋体" w:eastAsia="仿宋_GB2312"/>
          <w:bCs/>
          <w:sz w:val="28"/>
        </w:rPr>
      </w:pPr>
      <w:r>
        <w:rPr>
          <w:rFonts w:hint="eastAsia" w:ascii="仿宋_GB2312" w:hAnsi="新宋体" w:eastAsia="仿宋_GB2312"/>
          <w:bCs/>
          <w:sz w:val="28"/>
        </w:rPr>
        <w:t>根据《房地产估价规范》和估价人员实地查勘，依据评估对象的具体条件、用途及估价目的，结合估价师收集的有关估价对象所在区域同类用途房地产市场的资料，最终确定选择比较法评估其价值。</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仿宋_GB2312" w:hAnsi="新宋体" w:eastAsia="仿宋_GB2312"/>
          <w:bCs/>
          <w:sz w:val="28"/>
        </w:rPr>
      </w:pPr>
      <w:r>
        <w:rPr>
          <w:rFonts w:hint="eastAsia" w:ascii="仿宋_GB2312" w:hAnsi="新宋体" w:eastAsia="仿宋_GB2312"/>
          <w:bCs/>
          <w:sz w:val="28"/>
        </w:rPr>
        <w:t>1、据估价师调查近几年内估价对象周边类似规模、经营类型的物业较多，该类房地产租赁市场交易活跃，租金交易案例较易收集，且交易价格较为真实有效，适宜选用比较法进行评估。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仿宋_GB2312" w:hAnsi="新宋体" w:eastAsia="仿宋_GB2312"/>
          <w:bCs/>
          <w:sz w:val="28"/>
        </w:rPr>
      </w:pPr>
      <w:r>
        <w:rPr>
          <w:rFonts w:hint="eastAsia" w:ascii="仿宋_GB2312" w:hAnsi="新宋体" w:eastAsia="仿宋_GB2312"/>
          <w:bCs/>
          <w:sz w:val="28"/>
        </w:rPr>
        <w:t>所谓比较法就是指与价值时点近期有过交易的类似房地产进行比较，对这些类似房地产的已知价格作适当的修正，以此估算估价对象的客观合理价格或价值的方法(所谓类似房地产，是指在用途、建筑结构、所处地区等方面，与估价对象房地产相同或相似的房地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仿宋_GB2312" w:hAnsi="新宋体" w:eastAsia="仿宋_GB2312"/>
          <w:bCs/>
          <w:sz w:val="28"/>
        </w:rPr>
      </w:pPr>
      <w:r>
        <w:rPr>
          <w:rFonts w:hint="eastAsia" w:ascii="仿宋_GB2312" w:hAnsi="新宋体" w:eastAsia="仿宋_GB2312"/>
          <w:bCs/>
          <w:sz w:val="28"/>
        </w:rPr>
        <w:t>比较法基本公式: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仿宋_GB2312" w:hAnsi="新宋体" w:eastAsia="仿宋_GB2312"/>
          <w:bCs/>
          <w:sz w:val="28"/>
        </w:rPr>
      </w:pPr>
      <w:r>
        <w:rPr>
          <w:rFonts w:hint="eastAsia" w:ascii="仿宋_GB2312" w:hAnsi="新宋体" w:eastAsia="仿宋_GB2312"/>
          <w:bCs/>
          <w:sz w:val="28"/>
        </w:rPr>
        <w:t>估价对象价格=可比实例价格</w:t>
      </w:r>
      <w:r>
        <w:rPr>
          <w:rFonts w:hint="eastAsia" w:ascii="仿宋_GB2312" w:hAnsi="新宋体" w:eastAsia="仿宋_GB2312"/>
          <w:bCs/>
          <w:sz w:val="28"/>
          <w:lang w:val="en-US" w:eastAsia="zh-CN"/>
        </w:rPr>
        <w:t>×</w:t>
      </w:r>
      <w:r>
        <w:rPr>
          <w:rFonts w:hint="eastAsia" w:ascii="仿宋_GB2312" w:hAnsi="新宋体" w:eastAsia="仿宋_GB2312"/>
          <w:bCs/>
          <w:sz w:val="28"/>
        </w:rPr>
        <w:t>交易情况修正系数</w:t>
      </w:r>
      <w:r>
        <w:rPr>
          <w:rFonts w:hint="eastAsia" w:ascii="仿宋_GB2312" w:hAnsi="新宋体" w:eastAsia="仿宋_GB2312"/>
          <w:bCs/>
          <w:sz w:val="28"/>
          <w:lang w:val="en-US" w:eastAsia="zh-CN"/>
        </w:rPr>
        <w:t>×</w:t>
      </w:r>
      <w:r>
        <w:rPr>
          <w:rFonts w:hint="eastAsia" w:ascii="仿宋_GB2312" w:hAnsi="新宋体" w:eastAsia="仿宋_GB2312"/>
          <w:bCs/>
          <w:sz w:val="28"/>
        </w:rPr>
        <w:t>市场状况修正系数</w:t>
      </w:r>
      <w:r>
        <w:rPr>
          <w:rFonts w:hint="eastAsia" w:ascii="仿宋_GB2312" w:hAnsi="新宋体" w:eastAsia="仿宋_GB2312"/>
          <w:bCs/>
          <w:sz w:val="28"/>
          <w:lang w:val="en-US" w:eastAsia="zh-CN"/>
        </w:rPr>
        <w:t>×</w:t>
      </w:r>
      <w:r>
        <w:rPr>
          <w:rFonts w:hint="eastAsia" w:ascii="仿宋_GB2312" w:hAnsi="新宋体" w:eastAsia="仿宋_GB2312"/>
          <w:bCs/>
          <w:sz w:val="28"/>
        </w:rPr>
        <w:t>区位状况修正系数</w:t>
      </w:r>
      <w:r>
        <w:rPr>
          <w:rFonts w:hint="eastAsia" w:ascii="仿宋_GB2312" w:hAnsi="新宋体" w:eastAsia="仿宋_GB2312"/>
          <w:bCs/>
          <w:sz w:val="28"/>
          <w:lang w:val="en-US" w:eastAsia="zh-CN"/>
        </w:rPr>
        <w:t>×</w:t>
      </w:r>
      <w:r>
        <w:rPr>
          <w:rFonts w:hint="eastAsia" w:ascii="仿宋_GB2312" w:hAnsi="新宋体" w:eastAsia="仿宋_GB2312"/>
          <w:bCs/>
          <w:sz w:val="28"/>
        </w:rPr>
        <w:t>实物状况修正系数</w:t>
      </w:r>
      <w:r>
        <w:rPr>
          <w:rFonts w:hint="eastAsia" w:ascii="仿宋_GB2312" w:hAnsi="新宋体" w:eastAsia="仿宋_GB2312"/>
          <w:bCs/>
          <w:sz w:val="28"/>
          <w:lang w:val="en-US" w:eastAsia="zh-CN"/>
        </w:rPr>
        <w:t>×</w:t>
      </w:r>
      <w:r>
        <w:rPr>
          <w:rFonts w:hint="eastAsia" w:ascii="仿宋_GB2312" w:hAnsi="新宋体" w:eastAsia="仿宋_GB2312"/>
          <w:bCs/>
          <w:sz w:val="28"/>
        </w:rPr>
        <w:t>权益状况修正系数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仿宋_GB2312" w:hAnsi="新宋体" w:eastAsia="仿宋_GB2312"/>
          <w:bCs/>
          <w:sz w:val="28"/>
        </w:rPr>
      </w:pPr>
      <w:r>
        <w:rPr>
          <w:rFonts w:hint="eastAsia" w:ascii="仿宋_GB2312" w:hAnsi="新宋体" w:eastAsia="仿宋_GB2312"/>
          <w:bCs/>
          <w:sz w:val="28"/>
        </w:rPr>
        <w:t>2、采用收益法对估价对象租赁价格进行估价，原因是通过先确定该房地产的市场价格，然后利用资本化率、收益乘数将其转换为年净收益价值，考虑年总费用来求取估价对象年租金。</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仿宋_GB2312" w:hAnsi="新宋体" w:eastAsia="仿宋_GB2312"/>
          <w:bCs/>
          <w:sz w:val="28"/>
        </w:rPr>
      </w:pPr>
      <w:r>
        <w:rPr>
          <w:rFonts w:hint="eastAsia" w:ascii="仿宋_GB2312" w:hAnsi="新宋体" w:eastAsia="仿宋_GB2312"/>
          <w:bCs/>
          <w:sz w:val="28"/>
        </w:rPr>
        <w:t>由于资本化率、租金增长率的确定比较困难，因此这种评估方法缺乏实际操作性，所以收益法不适用。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仿宋_GB2312" w:hAnsi="新宋体" w:eastAsia="仿宋_GB2312"/>
          <w:bCs/>
          <w:sz w:val="28"/>
        </w:rPr>
      </w:pPr>
      <w:r>
        <w:rPr>
          <w:rFonts w:hint="eastAsia" w:ascii="仿宋_GB2312" w:hAnsi="新宋体" w:eastAsia="仿宋_GB2312"/>
          <w:bCs/>
          <w:sz w:val="28"/>
        </w:rPr>
        <w:t>3、成本法评估房地产租赁价格是通过测算房地产的折旧费、维修费、管理费、利息、税金、保险费、地租、利润等，进行累加得出租金价格。由于准确合理地确定上述各项费用比较困难，因此此种评估方法还是理论上的方法，缺乏实际操作性，并且，估价对象所处区域同类物业租赁价格的定价完全市场化，所以成本法不适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仿宋_GB2312" w:hAnsi="新宋体" w:eastAsia="仿宋_GB2312"/>
          <w:bCs/>
          <w:sz w:val="28"/>
        </w:rPr>
      </w:pPr>
      <w:r>
        <w:rPr>
          <w:rFonts w:hint="eastAsia" w:ascii="仿宋_GB2312" w:hAnsi="新宋体" w:eastAsia="仿宋_GB2312"/>
          <w:bCs/>
          <w:sz w:val="28"/>
        </w:rPr>
        <w:t>4、假设开发法适用于具有投资开发或再开发潜力的房地产的估价，如待开发的土地(包括生地、毛地、熟地)、在建工程(包括房地产开发项目)、可装修改造或可改变用途的旧房(包括装修、改建、扩建，如果是重建就属于毛地的范畴)，本次估价以维持估价对象现状使用为前提，且测算的是房地产市场租赁价格，故不适宜选用假设开发法测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2" w:firstLineChars="200"/>
        <w:textAlignment w:val="auto"/>
        <w:rPr>
          <w:rFonts w:hint="eastAsia" w:ascii="仿宋_GB2312" w:hAnsi="仿宋" w:eastAsia="仿宋_GB2312"/>
          <w:b/>
          <w:bCs/>
          <w:color w:val="auto"/>
          <w:sz w:val="28"/>
          <w:szCs w:val="28"/>
          <w:highlight w:val="none"/>
        </w:rPr>
      </w:pPr>
      <w:r>
        <w:rPr>
          <w:rFonts w:hint="eastAsia" w:ascii="仿宋_GB2312" w:hAnsi="仿宋" w:eastAsia="仿宋_GB2312"/>
          <w:b/>
          <w:bCs/>
          <w:color w:val="auto"/>
          <w:sz w:val="28"/>
          <w:szCs w:val="28"/>
          <w:highlight w:val="none"/>
          <w:lang w:val="en-US" w:eastAsia="zh-CN"/>
        </w:rPr>
        <w:t>十、</w:t>
      </w:r>
      <w:r>
        <w:rPr>
          <w:rFonts w:hint="eastAsia" w:ascii="仿宋_GB2312" w:hAnsi="仿宋" w:eastAsia="仿宋_GB2312"/>
          <w:b/>
          <w:bCs/>
          <w:color w:val="auto"/>
          <w:sz w:val="28"/>
          <w:szCs w:val="28"/>
          <w:highlight w:val="none"/>
        </w:rPr>
        <w:t>估价结果</w:t>
      </w:r>
    </w:p>
    <w:p>
      <w:pPr>
        <w:keepNext w:val="0"/>
        <w:keepLines w:val="0"/>
        <w:pageBreakBefore w:val="0"/>
        <w:widowControl w:val="0"/>
        <w:tabs>
          <w:tab w:val="left" w:pos="1140"/>
        </w:tabs>
        <w:kinsoku/>
        <w:wordWrap/>
        <w:overflowPunct/>
        <w:topLinePunct w:val="0"/>
        <w:autoSpaceDE/>
        <w:autoSpaceDN/>
        <w:bidi w:val="0"/>
        <w:adjustRightInd/>
        <w:snapToGrid/>
        <w:spacing w:line="360" w:lineRule="auto"/>
        <w:ind w:firstLine="560" w:firstLineChars="200"/>
        <w:textAlignment w:val="auto"/>
        <w:rPr>
          <w:rFonts w:hint="eastAsia" w:ascii="仿宋_GB2312" w:hAnsi="仿宋" w:eastAsia="仿宋_GB2312"/>
          <w:color w:val="auto"/>
          <w:sz w:val="28"/>
          <w:szCs w:val="28"/>
          <w:highlight w:val="none"/>
          <w:lang w:val="en-US" w:eastAsia="zh-CN"/>
        </w:rPr>
      </w:pPr>
      <w:r>
        <w:rPr>
          <w:rFonts w:hint="eastAsia" w:ascii="仿宋_GB2312" w:hAnsi="新宋体" w:eastAsia="仿宋_GB2312"/>
          <w:color w:val="auto"/>
          <w:sz w:val="28"/>
          <w:highlight w:val="none"/>
        </w:rPr>
        <w:t>估价人员对估价对象进行了现场勘察，并对各种有关信息进行了收集、整理和分析，依据房地产估价的原则、理论和方法，综合考虑当地房地产市场、社会经济发展等因素对房地产价值的影响，</w:t>
      </w:r>
      <w:r>
        <w:rPr>
          <w:rFonts w:hint="eastAsia" w:ascii="仿宋_GB2312" w:hAnsi="仿宋" w:eastAsia="仿宋_GB2312"/>
          <w:color w:val="auto"/>
          <w:sz w:val="28"/>
          <w:szCs w:val="28"/>
          <w:highlight w:val="none"/>
        </w:rPr>
        <w:t>综合评定出</w:t>
      </w:r>
      <w:r>
        <w:rPr>
          <w:rFonts w:hint="eastAsia" w:ascii="仿宋_GB2312" w:hAnsi="仿宋" w:eastAsia="仿宋_GB2312"/>
          <w:color w:val="auto"/>
          <w:sz w:val="28"/>
          <w:szCs w:val="28"/>
          <w:highlight w:val="none"/>
          <w:lang w:val="en-US" w:eastAsia="zh-CN"/>
        </w:rPr>
        <w:t>估价对象</w:t>
      </w:r>
      <w:r>
        <w:rPr>
          <w:rFonts w:hint="eastAsia" w:ascii="仿宋_GB2312" w:hAnsi="仿宋" w:eastAsia="仿宋_GB2312"/>
          <w:color w:val="auto"/>
          <w:sz w:val="28"/>
          <w:szCs w:val="28"/>
          <w:highlight w:val="none"/>
        </w:rPr>
        <w:t>在价值时点</w:t>
      </w:r>
      <w:r>
        <w:rPr>
          <w:rFonts w:hint="eastAsia" w:ascii="仿宋_GB2312" w:hAnsi="仿宋" w:eastAsia="仿宋_GB2312"/>
          <w:color w:val="auto"/>
          <w:sz w:val="28"/>
          <w:szCs w:val="28"/>
          <w:highlight w:val="none"/>
          <w:lang w:eastAsia="zh-CN"/>
        </w:rPr>
        <w:t>2024年4月25日</w:t>
      </w:r>
      <w:r>
        <w:rPr>
          <w:rFonts w:hint="eastAsia" w:ascii="仿宋_GB2312" w:hAnsi="仿宋" w:eastAsia="仿宋_GB2312"/>
          <w:color w:val="auto"/>
          <w:sz w:val="28"/>
          <w:szCs w:val="28"/>
          <w:highlight w:val="none"/>
          <w:lang w:val="en-US" w:eastAsia="zh-CN"/>
        </w:rPr>
        <w:t>满足本报告估价假设和限制条件的年租金价值为¥</w:t>
      </w:r>
      <w:r>
        <w:rPr>
          <w:rFonts w:hint="eastAsia" w:ascii="仿宋_GB2312" w:hAnsi="仿宋" w:eastAsia="仿宋_GB2312"/>
          <w:b/>
          <w:bCs/>
          <w:color w:val="auto"/>
          <w:sz w:val="28"/>
          <w:szCs w:val="28"/>
          <w:highlight w:val="none"/>
          <w:lang w:val="en-US" w:eastAsia="zh-CN"/>
        </w:rPr>
        <w:t>55382元</w:t>
      </w:r>
      <w:r>
        <w:rPr>
          <w:rFonts w:hint="eastAsia" w:ascii="仿宋_GB2312" w:hAnsi="仿宋" w:eastAsia="仿宋_GB2312"/>
          <w:color w:val="auto"/>
          <w:sz w:val="28"/>
          <w:szCs w:val="28"/>
          <w:highlight w:val="none"/>
          <w:lang w:val="en-US" w:eastAsia="zh-CN"/>
        </w:rPr>
        <w:t>，大写人民币</w:t>
      </w:r>
      <w:r>
        <w:rPr>
          <w:rFonts w:hint="eastAsia" w:ascii="仿宋_GB2312" w:hAnsi="仿宋" w:eastAsia="仿宋_GB2312"/>
          <w:b/>
          <w:bCs/>
          <w:color w:val="auto"/>
          <w:sz w:val="28"/>
          <w:szCs w:val="28"/>
          <w:highlight w:val="none"/>
          <w:lang w:val="en-US" w:eastAsia="zh-CN"/>
        </w:rPr>
        <w:t>伍万伍仟叁佰捌拾贰元。</w:t>
      </w:r>
      <w:r>
        <w:rPr>
          <w:rFonts w:hint="eastAsia" w:ascii="仿宋_GB2312" w:hAnsi="仿宋" w:eastAsia="仿宋_GB2312"/>
          <w:color w:val="auto"/>
          <w:sz w:val="28"/>
          <w:szCs w:val="28"/>
          <w:highlight w:val="none"/>
          <w:lang w:val="en-US" w:eastAsia="zh-CN"/>
        </w:rPr>
        <w:t>详细租金情况详见《房地产估价结果一览表》。</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center"/>
        <w:textAlignment w:val="auto"/>
        <w:outlineLvl w:val="9"/>
        <w:rPr>
          <w:rFonts w:hint="eastAsia" w:ascii="仿宋_GB2312" w:hAnsi="仿宋" w:eastAsia="仿宋_GB2312"/>
          <w:color w:val="auto"/>
          <w:sz w:val="28"/>
          <w:szCs w:val="28"/>
          <w:highlight w:val="none"/>
          <w:lang w:val="en-US" w:eastAsia="zh-CN"/>
        </w:rPr>
      </w:pPr>
      <w:r>
        <w:rPr>
          <w:rFonts w:hint="eastAsia" w:ascii="仿宋_GB2312" w:hAnsi="仿宋" w:eastAsia="仿宋_GB2312"/>
          <w:color w:val="auto"/>
          <w:sz w:val="28"/>
          <w:szCs w:val="28"/>
          <w:highlight w:val="none"/>
          <w:lang w:val="en-US" w:eastAsia="zh-CN"/>
        </w:rPr>
        <w:t>房地产估价结果一览表</w:t>
      </w:r>
    </w:p>
    <w:tbl>
      <w:tblPr>
        <w:tblStyle w:val="12"/>
        <w:tblpPr w:leftFromText="180" w:rightFromText="180" w:vertAnchor="text" w:horzAnchor="page" w:tblpX="1769" w:tblpY="151"/>
        <w:tblOverlap w:val="never"/>
        <w:tblW w:w="88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7"/>
        <w:gridCol w:w="1400"/>
        <w:gridCol w:w="850"/>
        <w:gridCol w:w="1363"/>
        <w:gridCol w:w="1587"/>
        <w:gridCol w:w="1625"/>
        <w:gridCol w:w="1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vAlign w:val="center"/>
          </w:tcPr>
          <w:p>
            <w:pPr>
              <w:keepNext w:val="0"/>
              <w:keepLines w:val="0"/>
              <w:widowControl/>
              <w:suppressLineNumbers w:val="0"/>
              <w:jc w:val="center"/>
              <w:textAlignment w:val="center"/>
              <w:rPr>
                <w:rFonts w:hint="eastAsia" w:ascii="仿宋_GB2312" w:hAnsi="仿宋" w:eastAsia="仿宋_GB2312"/>
                <w:color w:val="auto"/>
                <w:sz w:val="28"/>
                <w:szCs w:val="28"/>
                <w:highlight w:val="none"/>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序号</w:t>
            </w:r>
          </w:p>
        </w:tc>
        <w:tc>
          <w:tcPr>
            <w:tcW w:w="1400" w:type="dxa"/>
            <w:vAlign w:val="center"/>
          </w:tcPr>
          <w:p>
            <w:pPr>
              <w:keepNext w:val="0"/>
              <w:keepLines w:val="0"/>
              <w:widowControl/>
              <w:suppressLineNumbers w:val="0"/>
              <w:jc w:val="center"/>
              <w:textAlignment w:val="center"/>
              <w:rPr>
                <w:rFonts w:hint="eastAsia" w:ascii="仿宋_GB2312" w:hAnsi="仿宋" w:eastAsia="仿宋_GB2312"/>
                <w:color w:val="auto"/>
                <w:sz w:val="28"/>
                <w:szCs w:val="28"/>
                <w:highlight w:val="none"/>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楼层</w:t>
            </w:r>
          </w:p>
        </w:tc>
        <w:tc>
          <w:tcPr>
            <w:tcW w:w="850" w:type="dxa"/>
            <w:vAlign w:val="center"/>
          </w:tcPr>
          <w:p>
            <w:pPr>
              <w:keepNext w:val="0"/>
              <w:keepLines w:val="0"/>
              <w:widowControl/>
              <w:suppressLineNumbers w:val="0"/>
              <w:jc w:val="center"/>
              <w:textAlignment w:val="center"/>
              <w:rPr>
                <w:rFonts w:hint="eastAsia" w:ascii="仿宋_GB2312" w:hAnsi="仿宋" w:eastAsia="仿宋_GB2312"/>
                <w:color w:val="auto"/>
                <w:sz w:val="28"/>
                <w:szCs w:val="28"/>
                <w:highlight w:val="none"/>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设计用途</w:t>
            </w:r>
          </w:p>
        </w:tc>
        <w:tc>
          <w:tcPr>
            <w:tcW w:w="1363" w:type="dxa"/>
            <w:vAlign w:val="center"/>
          </w:tcPr>
          <w:p>
            <w:pPr>
              <w:keepNext w:val="0"/>
              <w:keepLines w:val="0"/>
              <w:widowControl/>
              <w:suppressLineNumbers w:val="0"/>
              <w:jc w:val="center"/>
              <w:textAlignment w:val="center"/>
              <w:rPr>
                <w:rFonts w:hint="eastAsia" w:ascii="仿宋_GB2312" w:hAnsi="仿宋" w:eastAsia="仿宋_GB2312"/>
                <w:color w:val="auto"/>
                <w:sz w:val="28"/>
                <w:szCs w:val="28"/>
                <w:highlight w:val="none"/>
                <w:vertAlign w:val="baseline"/>
                <w:lang w:val="en-US" w:eastAsia="zh-CN"/>
              </w:rPr>
            </w:pPr>
            <w:r>
              <w:rPr>
                <w:rFonts w:hint="eastAsia" w:ascii="宋体" w:hAnsi="宋体" w:cs="宋体"/>
                <w:b/>
                <w:bCs/>
                <w:i w:val="0"/>
                <w:iCs w:val="0"/>
                <w:color w:val="000000"/>
                <w:kern w:val="0"/>
                <w:sz w:val="24"/>
                <w:szCs w:val="24"/>
                <w:u w:val="none"/>
                <w:lang w:val="en-US" w:eastAsia="zh-CN" w:bidi="ar"/>
              </w:rPr>
              <w:t>拟</w:t>
            </w:r>
            <w:r>
              <w:rPr>
                <w:rFonts w:hint="eastAsia" w:ascii="宋体" w:hAnsi="宋体" w:eastAsia="宋体" w:cs="宋体"/>
                <w:b/>
                <w:bCs/>
                <w:i w:val="0"/>
                <w:iCs w:val="0"/>
                <w:color w:val="000000"/>
                <w:kern w:val="0"/>
                <w:sz w:val="24"/>
                <w:szCs w:val="24"/>
                <w:u w:val="none"/>
                <w:lang w:val="en-US" w:eastAsia="zh-CN" w:bidi="ar"/>
              </w:rPr>
              <w:t>出租面积（㎡）</w:t>
            </w:r>
          </w:p>
        </w:tc>
        <w:tc>
          <w:tcPr>
            <w:tcW w:w="1587" w:type="dxa"/>
            <w:vAlign w:val="center"/>
          </w:tcPr>
          <w:p>
            <w:pPr>
              <w:keepNext w:val="0"/>
              <w:keepLines w:val="0"/>
              <w:widowControl/>
              <w:suppressLineNumbers w:val="0"/>
              <w:jc w:val="center"/>
              <w:textAlignment w:val="center"/>
              <w:rPr>
                <w:rFonts w:hint="eastAsia" w:ascii="仿宋_GB2312" w:hAnsi="仿宋" w:eastAsia="仿宋_GB2312"/>
                <w:color w:val="auto"/>
                <w:sz w:val="28"/>
                <w:szCs w:val="28"/>
                <w:highlight w:val="none"/>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租金价格                                                                                                                                                                                            （元/㎡/月）</w:t>
            </w:r>
          </w:p>
        </w:tc>
        <w:tc>
          <w:tcPr>
            <w:tcW w:w="1625" w:type="dxa"/>
            <w:vAlign w:val="center"/>
          </w:tcPr>
          <w:p>
            <w:pPr>
              <w:keepNext w:val="0"/>
              <w:keepLines w:val="0"/>
              <w:widowControl/>
              <w:suppressLineNumbers w:val="0"/>
              <w:jc w:val="center"/>
              <w:textAlignment w:val="center"/>
              <w:rPr>
                <w:rFonts w:hint="eastAsia" w:ascii="仿宋_GB2312" w:hAnsi="仿宋" w:eastAsia="仿宋_GB2312"/>
                <w:color w:val="auto"/>
                <w:sz w:val="28"/>
                <w:szCs w:val="28"/>
                <w:highlight w:val="none"/>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年租金价格                                （元/㎡/年）</w:t>
            </w:r>
          </w:p>
        </w:tc>
        <w:tc>
          <w:tcPr>
            <w:tcW w:w="1138" w:type="dxa"/>
          </w:tcPr>
          <w:p>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年租金</w:t>
            </w:r>
          </w:p>
          <w:p>
            <w:pPr>
              <w:keepNext w:val="0"/>
              <w:keepLines w:val="0"/>
              <w:widowControl/>
              <w:suppressLineNumbers w:val="0"/>
              <w:jc w:val="center"/>
              <w:textAlignment w:val="center"/>
              <w:rPr>
                <w:rFonts w:hint="default" w:ascii="宋体" w:hAnsi="宋体" w:eastAsia="宋体" w:cs="宋体"/>
                <w:b/>
                <w:bCs/>
                <w:i w:val="0"/>
                <w:iCs w:val="0"/>
                <w:color w:val="000000"/>
                <w:kern w:val="0"/>
                <w:sz w:val="24"/>
                <w:szCs w:val="24"/>
                <w:u w:val="none"/>
                <w:lang w:val="en-US" w:eastAsia="zh-CN" w:bidi="ar"/>
              </w:rPr>
            </w:pPr>
            <w:r>
              <w:rPr>
                <w:rFonts w:hint="eastAsia" w:ascii="宋体" w:hAnsi="宋体" w:cs="宋体"/>
                <w:b/>
                <w:bCs/>
                <w:i w:val="0"/>
                <w:iCs w:val="0"/>
                <w:color w:val="000000"/>
                <w:kern w:val="0"/>
                <w:sz w:val="24"/>
                <w:szCs w:val="24"/>
                <w:u w:val="none"/>
                <w:lang w:val="en-US" w:eastAsia="zh-CN" w:bidi="ar"/>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837" w:type="dxa"/>
            <w:vAlign w:val="center"/>
          </w:tcPr>
          <w:p>
            <w:pPr>
              <w:keepNext w:val="0"/>
              <w:keepLines w:val="0"/>
              <w:widowControl/>
              <w:suppressLineNumbers w:val="0"/>
              <w:jc w:val="center"/>
              <w:textAlignment w:val="center"/>
              <w:rPr>
                <w:rFonts w:hint="eastAsia" w:ascii="仿宋_GB2312" w:hAnsi="仿宋" w:eastAsia="仿宋_GB2312"/>
                <w:color w:val="auto"/>
                <w:sz w:val="28"/>
                <w:szCs w:val="28"/>
                <w:highlight w:val="none"/>
                <w:vertAlign w:val="baseline"/>
                <w:lang w:val="en-US" w:eastAsia="zh-CN"/>
              </w:rPr>
            </w:pPr>
            <w:r>
              <w:rPr>
                <w:rFonts w:hint="eastAsia" w:ascii="宋体" w:hAnsi="宋体" w:eastAsia="宋体" w:cs="宋体"/>
                <w:i w:val="0"/>
                <w:iCs w:val="0"/>
                <w:color w:val="000000"/>
                <w:kern w:val="0"/>
                <w:sz w:val="24"/>
                <w:szCs w:val="24"/>
                <w:u w:val="none"/>
                <w:lang w:val="en-US" w:eastAsia="zh-CN" w:bidi="ar"/>
              </w:rPr>
              <w:t>1</w:t>
            </w:r>
          </w:p>
        </w:tc>
        <w:tc>
          <w:tcPr>
            <w:tcW w:w="1400" w:type="dxa"/>
            <w:vAlign w:val="center"/>
          </w:tcPr>
          <w:p>
            <w:pPr>
              <w:keepNext w:val="0"/>
              <w:keepLines w:val="0"/>
              <w:widowControl/>
              <w:suppressLineNumbers w:val="0"/>
              <w:jc w:val="center"/>
              <w:textAlignment w:val="center"/>
              <w:rPr>
                <w:rFonts w:hint="eastAsia" w:ascii="仿宋_GB2312" w:hAnsi="仿宋" w:eastAsia="仿宋_GB2312"/>
                <w:color w:val="auto"/>
                <w:sz w:val="28"/>
                <w:szCs w:val="28"/>
                <w:highlight w:val="none"/>
                <w:vertAlign w:val="baseline"/>
                <w:lang w:val="en-US" w:eastAsia="zh-CN"/>
              </w:rPr>
            </w:pPr>
            <w:r>
              <w:rPr>
                <w:rFonts w:hint="eastAsia" w:ascii="宋体" w:hAnsi="宋体" w:eastAsia="宋体" w:cs="宋体"/>
                <w:i w:val="0"/>
                <w:iCs w:val="0"/>
                <w:color w:val="000000"/>
                <w:kern w:val="0"/>
                <w:sz w:val="24"/>
                <w:szCs w:val="24"/>
                <w:u w:val="none"/>
                <w:lang w:val="en-US" w:eastAsia="zh-CN" w:bidi="ar"/>
              </w:rPr>
              <w:t>1-1（水果）</w:t>
            </w:r>
          </w:p>
        </w:tc>
        <w:tc>
          <w:tcPr>
            <w:tcW w:w="850" w:type="dxa"/>
            <w:vAlign w:val="center"/>
          </w:tcPr>
          <w:p>
            <w:pPr>
              <w:keepNext w:val="0"/>
              <w:keepLines w:val="0"/>
              <w:widowControl/>
              <w:suppressLineNumbers w:val="0"/>
              <w:jc w:val="center"/>
              <w:textAlignment w:val="center"/>
              <w:rPr>
                <w:rFonts w:hint="eastAsia" w:ascii="仿宋_GB2312" w:hAnsi="仿宋" w:eastAsia="仿宋_GB2312"/>
                <w:color w:val="auto"/>
                <w:sz w:val="28"/>
                <w:szCs w:val="28"/>
                <w:highlight w:val="none"/>
                <w:vertAlign w:val="baseline"/>
                <w:lang w:val="en-US" w:eastAsia="zh-CN"/>
              </w:rPr>
            </w:pPr>
            <w:r>
              <w:rPr>
                <w:rFonts w:hint="eastAsia" w:ascii="宋体" w:hAnsi="宋体" w:eastAsia="宋体" w:cs="宋体"/>
                <w:i w:val="0"/>
                <w:iCs w:val="0"/>
                <w:color w:val="000000"/>
                <w:kern w:val="0"/>
                <w:sz w:val="24"/>
                <w:szCs w:val="24"/>
                <w:u w:val="none"/>
                <w:lang w:val="en-US" w:eastAsia="zh-CN" w:bidi="ar"/>
              </w:rPr>
              <w:t>商业</w:t>
            </w:r>
          </w:p>
        </w:tc>
        <w:tc>
          <w:tcPr>
            <w:tcW w:w="1363" w:type="dxa"/>
            <w:vAlign w:val="center"/>
          </w:tcPr>
          <w:p>
            <w:pPr>
              <w:keepNext w:val="0"/>
              <w:keepLines w:val="0"/>
              <w:widowControl/>
              <w:suppressLineNumbers w:val="0"/>
              <w:jc w:val="center"/>
              <w:textAlignment w:val="center"/>
              <w:rPr>
                <w:rFonts w:hint="eastAsia" w:ascii="仿宋_GB2312" w:hAnsi="仿宋" w:eastAsia="仿宋_GB2312"/>
                <w:color w:val="auto"/>
                <w:sz w:val="28"/>
                <w:szCs w:val="28"/>
                <w:highlight w:val="none"/>
                <w:vertAlign w:val="baseline"/>
                <w:lang w:val="en-US" w:eastAsia="zh-CN"/>
              </w:rPr>
            </w:pPr>
            <w:r>
              <w:rPr>
                <w:rFonts w:hint="eastAsia" w:ascii="宋体" w:hAnsi="宋体" w:eastAsia="宋体" w:cs="宋体"/>
                <w:i w:val="0"/>
                <w:iCs w:val="0"/>
                <w:color w:val="000000"/>
                <w:kern w:val="0"/>
                <w:sz w:val="24"/>
                <w:szCs w:val="24"/>
                <w:u w:val="none"/>
                <w:lang w:val="en-US" w:eastAsia="zh-CN" w:bidi="ar"/>
              </w:rPr>
              <w:t>28.42</w:t>
            </w:r>
          </w:p>
        </w:tc>
        <w:tc>
          <w:tcPr>
            <w:tcW w:w="1587" w:type="dxa"/>
            <w:vAlign w:val="center"/>
          </w:tcPr>
          <w:p>
            <w:pPr>
              <w:keepNext w:val="0"/>
              <w:keepLines w:val="0"/>
              <w:widowControl/>
              <w:suppressLineNumbers w:val="0"/>
              <w:jc w:val="center"/>
              <w:textAlignment w:val="center"/>
              <w:rPr>
                <w:rFonts w:hint="eastAsia" w:ascii="仿宋_GB2312" w:hAnsi="仿宋" w:eastAsia="仿宋_GB2312"/>
                <w:color w:val="auto"/>
                <w:sz w:val="28"/>
                <w:szCs w:val="28"/>
                <w:highlight w:val="none"/>
                <w:vertAlign w:val="baseline"/>
                <w:lang w:val="en-US" w:eastAsia="zh-CN"/>
              </w:rPr>
            </w:pPr>
            <w:r>
              <w:rPr>
                <w:rFonts w:hint="eastAsia" w:ascii="宋体" w:hAnsi="宋体" w:eastAsia="宋体" w:cs="宋体"/>
                <w:i w:val="0"/>
                <w:iCs w:val="0"/>
                <w:color w:val="000000"/>
                <w:kern w:val="0"/>
                <w:sz w:val="24"/>
                <w:szCs w:val="24"/>
                <w:u w:val="none"/>
                <w:lang w:val="en-US" w:eastAsia="zh-CN" w:bidi="ar"/>
              </w:rPr>
              <w:t xml:space="preserve">60.00 </w:t>
            </w:r>
          </w:p>
        </w:tc>
        <w:tc>
          <w:tcPr>
            <w:tcW w:w="1625" w:type="dxa"/>
            <w:vAlign w:val="center"/>
          </w:tcPr>
          <w:p>
            <w:pPr>
              <w:keepNext w:val="0"/>
              <w:keepLines w:val="0"/>
              <w:widowControl/>
              <w:suppressLineNumbers w:val="0"/>
              <w:jc w:val="center"/>
              <w:textAlignment w:val="center"/>
              <w:rPr>
                <w:rFonts w:hint="eastAsia" w:ascii="仿宋_GB2312" w:hAnsi="仿宋" w:eastAsia="仿宋_GB2312"/>
                <w:color w:val="auto"/>
                <w:sz w:val="28"/>
                <w:szCs w:val="28"/>
                <w:highlight w:val="none"/>
                <w:vertAlign w:val="baseline"/>
                <w:lang w:val="en-US" w:eastAsia="zh-CN"/>
              </w:rPr>
            </w:pPr>
            <w:r>
              <w:rPr>
                <w:rFonts w:hint="eastAsia" w:ascii="宋体" w:hAnsi="宋体" w:eastAsia="宋体" w:cs="宋体"/>
                <w:i w:val="0"/>
                <w:iCs w:val="0"/>
                <w:color w:val="000000"/>
                <w:kern w:val="0"/>
                <w:sz w:val="24"/>
                <w:szCs w:val="24"/>
                <w:u w:val="none"/>
                <w:lang w:val="en-US" w:eastAsia="zh-CN" w:bidi="ar"/>
              </w:rPr>
              <w:t xml:space="preserve">720.00 </w:t>
            </w:r>
          </w:p>
        </w:tc>
        <w:tc>
          <w:tcPr>
            <w:tcW w:w="1138"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20462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7" w:type="dxa"/>
            <w:vAlign w:val="center"/>
          </w:tcPr>
          <w:p>
            <w:pPr>
              <w:keepNext w:val="0"/>
              <w:keepLines w:val="0"/>
              <w:widowControl/>
              <w:suppressLineNumbers w:val="0"/>
              <w:jc w:val="center"/>
              <w:textAlignment w:val="center"/>
              <w:rPr>
                <w:rFonts w:hint="eastAsia" w:ascii="仿宋_GB2312" w:hAnsi="仿宋" w:eastAsia="仿宋_GB2312"/>
                <w:color w:val="auto"/>
                <w:sz w:val="28"/>
                <w:szCs w:val="28"/>
                <w:highlight w:val="none"/>
                <w:vertAlign w:val="baseline"/>
                <w:lang w:val="en-US" w:eastAsia="zh-CN"/>
              </w:rPr>
            </w:pPr>
            <w:r>
              <w:rPr>
                <w:rFonts w:hint="eastAsia" w:ascii="宋体" w:hAnsi="宋体" w:eastAsia="宋体" w:cs="宋体"/>
                <w:i w:val="0"/>
                <w:iCs w:val="0"/>
                <w:color w:val="000000"/>
                <w:kern w:val="0"/>
                <w:sz w:val="24"/>
                <w:szCs w:val="24"/>
                <w:u w:val="none"/>
                <w:lang w:val="en-US" w:eastAsia="zh-CN" w:bidi="ar"/>
              </w:rPr>
              <w:t>2</w:t>
            </w:r>
          </w:p>
        </w:tc>
        <w:tc>
          <w:tcPr>
            <w:tcW w:w="1400" w:type="dxa"/>
            <w:vAlign w:val="center"/>
          </w:tcPr>
          <w:p>
            <w:pPr>
              <w:keepNext w:val="0"/>
              <w:keepLines w:val="0"/>
              <w:widowControl/>
              <w:suppressLineNumbers w:val="0"/>
              <w:jc w:val="center"/>
              <w:textAlignment w:val="center"/>
              <w:rPr>
                <w:rFonts w:hint="eastAsia" w:ascii="仿宋_GB2312" w:hAnsi="仿宋" w:eastAsia="仿宋_GB2312"/>
                <w:color w:val="auto"/>
                <w:sz w:val="28"/>
                <w:szCs w:val="28"/>
                <w:highlight w:val="none"/>
                <w:vertAlign w:val="baseline"/>
                <w:lang w:val="en-US" w:eastAsia="zh-CN"/>
              </w:rPr>
            </w:pPr>
            <w:r>
              <w:rPr>
                <w:rFonts w:hint="eastAsia" w:ascii="宋体" w:hAnsi="宋体" w:eastAsia="宋体" w:cs="宋体"/>
                <w:i w:val="0"/>
                <w:iCs w:val="0"/>
                <w:color w:val="000000"/>
                <w:kern w:val="0"/>
                <w:sz w:val="24"/>
                <w:szCs w:val="24"/>
                <w:u w:val="none"/>
                <w:lang w:val="en-US" w:eastAsia="zh-CN" w:bidi="ar"/>
              </w:rPr>
              <w:t>1-2（水果）</w:t>
            </w:r>
          </w:p>
        </w:tc>
        <w:tc>
          <w:tcPr>
            <w:tcW w:w="850" w:type="dxa"/>
            <w:vAlign w:val="center"/>
          </w:tcPr>
          <w:p>
            <w:pPr>
              <w:keepNext w:val="0"/>
              <w:keepLines w:val="0"/>
              <w:widowControl/>
              <w:suppressLineNumbers w:val="0"/>
              <w:jc w:val="center"/>
              <w:textAlignment w:val="center"/>
              <w:rPr>
                <w:rFonts w:hint="eastAsia" w:ascii="仿宋_GB2312" w:hAnsi="仿宋" w:eastAsia="仿宋_GB2312"/>
                <w:color w:val="auto"/>
                <w:sz w:val="28"/>
                <w:szCs w:val="28"/>
                <w:highlight w:val="none"/>
                <w:vertAlign w:val="baseline"/>
                <w:lang w:val="en-US" w:eastAsia="zh-CN"/>
              </w:rPr>
            </w:pPr>
            <w:r>
              <w:rPr>
                <w:rFonts w:hint="eastAsia" w:ascii="宋体" w:hAnsi="宋体" w:eastAsia="宋体" w:cs="宋体"/>
                <w:i w:val="0"/>
                <w:iCs w:val="0"/>
                <w:color w:val="000000"/>
                <w:kern w:val="0"/>
                <w:sz w:val="24"/>
                <w:szCs w:val="24"/>
                <w:u w:val="none"/>
                <w:lang w:val="en-US" w:eastAsia="zh-CN" w:bidi="ar"/>
              </w:rPr>
              <w:t>商业</w:t>
            </w:r>
          </w:p>
        </w:tc>
        <w:tc>
          <w:tcPr>
            <w:tcW w:w="1363" w:type="dxa"/>
            <w:vAlign w:val="center"/>
          </w:tcPr>
          <w:p>
            <w:pPr>
              <w:keepNext w:val="0"/>
              <w:keepLines w:val="0"/>
              <w:widowControl/>
              <w:suppressLineNumbers w:val="0"/>
              <w:jc w:val="center"/>
              <w:textAlignment w:val="center"/>
              <w:rPr>
                <w:rFonts w:hint="eastAsia" w:ascii="仿宋_GB2312" w:hAnsi="仿宋" w:eastAsia="仿宋_GB2312"/>
                <w:color w:val="auto"/>
                <w:sz w:val="28"/>
                <w:szCs w:val="28"/>
                <w:highlight w:val="none"/>
                <w:vertAlign w:val="baseline"/>
                <w:lang w:val="en-US" w:eastAsia="zh-CN"/>
              </w:rPr>
            </w:pPr>
            <w:r>
              <w:rPr>
                <w:rFonts w:hint="eastAsia" w:ascii="宋体" w:hAnsi="宋体" w:eastAsia="宋体" w:cs="宋体"/>
                <w:i w:val="0"/>
                <w:iCs w:val="0"/>
                <w:color w:val="000000"/>
                <w:kern w:val="0"/>
                <w:sz w:val="24"/>
                <w:szCs w:val="24"/>
                <w:u w:val="none"/>
                <w:lang w:val="en-US" w:eastAsia="zh-CN" w:bidi="ar"/>
              </w:rPr>
              <w:t>2</w:t>
            </w:r>
            <w:bookmarkStart w:id="23" w:name="_GoBack"/>
            <w:bookmarkEnd w:id="23"/>
            <w:r>
              <w:rPr>
                <w:rFonts w:hint="eastAsia" w:ascii="宋体" w:hAnsi="宋体" w:eastAsia="宋体" w:cs="宋体"/>
                <w:i w:val="0"/>
                <w:iCs w:val="0"/>
                <w:color w:val="000000"/>
                <w:kern w:val="0"/>
                <w:sz w:val="24"/>
                <w:szCs w:val="24"/>
                <w:u w:val="none"/>
                <w:lang w:val="en-US" w:eastAsia="zh-CN" w:bidi="ar"/>
              </w:rPr>
              <w:t>4.74</w:t>
            </w:r>
          </w:p>
        </w:tc>
        <w:tc>
          <w:tcPr>
            <w:tcW w:w="1587" w:type="dxa"/>
            <w:vAlign w:val="center"/>
          </w:tcPr>
          <w:p>
            <w:pPr>
              <w:keepNext w:val="0"/>
              <w:keepLines w:val="0"/>
              <w:widowControl/>
              <w:suppressLineNumbers w:val="0"/>
              <w:jc w:val="center"/>
              <w:textAlignment w:val="center"/>
              <w:rPr>
                <w:rFonts w:hint="eastAsia" w:ascii="仿宋_GB2312" w:hAnsi="仿宋" w:eastAsia="仿宋_GB2312"/>
                <w:color w:val="auto"/>
                <w:sz w:val="28"/>
                <w:szCs w:val="28"/>
                <w:highlight w:val="none"/>
                <w:vertAlign w:val="baseline"/>
                <w:lang w:val="en-US" w:eastAsia="zh-CN"/>
              </w:rPr>
            </w:pPr>
            <w:r>
              <w:rPr>
                <w:rFonts w:hint="eastAsia" w:ascii="宋体" w:hAnsi="宋体" w:eastAsia="宋体" w:cs="宋体"/>
                <w:i w:val="0"/>
                <w:iCs w:val="0"/>
                <w:color w:val="000000"/>
                <w:kern w:val="0"/>
                <w:sz w:val="24"/>
                <w:szCs w:val="24"/>
                <w:u w:val="none"/>
                <w:lang w:val="en-US" w:eastAsia="zh-CN" w:bidi="ar"/>
              </w:rPr>
              <w:t xml:space="preserve">60.00 </w:t>
            </w:r>
          </w:p>
        </w:tc>
        <w:tc>
          <w:tcPr>
            <w:tcW w:w="1625" w:type="dxa"/>
            <w:vAlign w:val="center"/>
          </w:tcPr>
          <w:p>
            <w:pPr>
              <w:keepNext w:val="0"/>
              <w:keepLines w:val="0"/>
              <w:widowControl/>
              <w:suppressLineNumbers w:val="0"/>
              <w:jc w:val="center"/>
              <w:textAlignment w:val="center"/>
              <w:rPr>
                <w:rFonts w:hint="eastAsia" w:ascii="仿宋_GB2312" w:hAnsi="仿宋" w:eastAsia="仿宋_GB2312"/>
                <w:color w:val="auto"/>
                <w:sz w:val="28"/>
                <w:szCs w:val="28"/>
                <w:highlight w:val="none"/>
                <w:vertAlign w:val="baseline"/>
                <w:lang w:val="en-US" w:eastAsia="zh-CN"/>
              </w:rPr>
            </w:pPr>
            <w:r>
              <w:rPr>
                <w:rFonts w:hint="eastAsia" w:ascii="宋体" w:hAnsi="宋体" w:eastAsia="宋体" w:cs="宋体"/>
                <w:i w:val="0"/>
                <w:iCs w:val="0"/>
                <w:color w:val="000000"/>
                <w:kern w:val="0"/>
                <w:sz w:val="24"/>
                <w:szCs w:val="24"/>
                <w:u w:val="none"/>
                <w:lang w:val="en-US" w:eastAsia="zh-CN" w:bidi="ar"/>
              </w:rPr>
              <w:t xml:space="preserve">720.00 </w:t>
            </w:r>
          </w:p>
        </w:tc>
        <w:tc>
          <w:tcPr>
            <w:tcW w:w="1138"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17813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837" w:type="dxa"/>
            <w:vAlign w:val="center"/>
          </w:tcPr>
          <w:p>
            <w:pPr>
              <w:keepNext w:val="0"/>
              <w:keepLines w:val="0"/>
              <w:widowControl/>
              <w:suppressLineNumbers w:val="0"/>
              <w:jc w:val="center"/>
              <w:textAlignment w:val="center"/>
              <w:rPr>
                <w:rFonts w:hint="eastAsia" w:ascii="仿宋_GB2312" w:hAnsi="仿宋" w:eastAsia="仿宋_GB2312"/>
                <w:color w:val="auto"/>
                <w:sz w:val="28"/>
                <w:szCs w:val="28"/>
                <w:highlight w:val="none"/>
                <w:vertAlign w:val="baseline"/>
                <w:lang w:val="en-US" w:eastAsia="zh-CN"/>
              </w:rPr>
            </w:pPr>
            <w:r>
              <w:rPr>
                <w:rFonts w:hint="eastAsia" w:ascii="宋体" w:hAnsi="宋体" w:eastAsia="宋体" w:cs="宋体"/>
                <w:i w:val="0"/>
                <w:iCs w:val="0"/>
                <w:color w:val="000000"/>
                <w:kern w:val="0"/>
                <w:sz w:val="24"/>
                <w:szCs w:val="24"/>
                <w:u w:val="none"/>
                <w:lang w:val="en-US" w:eastAsia="zh-CN" w:bidi="ar"/>
              </w:rPr>
              <w:t>3</w:t>
            </w:r>
          </w:p>
        </w:tc>
        <w:tc>
          <w:tcPr>
            <w:tcW w:w="1400" w:type="dxa"/>
            <w:vAlign w:val="center"/>
          </w:tcPr>
          <w:p>
            <w:pPr>
              <w:keepNext w:val="0"/>
              <w:keepLines w:val="0"/>
              <w:widowControl/>
              <w:suppressLineNumbers w:val="0"/>
              <w:jc w:val="center"/>
              <w:textAlignment w:val="center"/>
              <w:rPr>
                <w:rFonts w:hint="eastAsia" w:ascii="仿宋_GB2312" w:hAnsi="仿宋" w:eastAsia="仿宋_GB2312"/>
                <w:color w:val="auto"/>
                <w:sz w:val="28"/>
                <w:szCs w:val="28"/>
                <w:highlight w:val="none"/>
                <w:vertAlign w:val="baseline"/>
                <w:lang w:val="en-US" w:eastAsia="zh-CN"/>
              </w:rPr>
            </w:pPr>
            <w:r>
              <w:rPr>
                <w:rFonts w:hint="eastAsia" w:ascii="宋体" w:hAnsi="宋体" w:eastAsia="宋体" w:cs="宋体"/>
                <w:i w:val="0"/>
                <w:iCs w:val="0"/>
                <w:color w:val="000000"/>
                <w:kern w:val="0"/>
                <w:sz w:val="24"/>
                <w:szCs w:val="24"/>
                <w:u w:val="none"/>
                <w:lang w:val="en-US" w:eastAsia="zh-CN" w:bidi="ar"/>
              </w:rPr>
              <w:t>1-3（蛋糕）</w:t>
            </w:r>
          </w:p>
        </w:tc>
        <w:tc>
          <w:tcPr>
            <w:tcW w:w="850" w:type="dxa"/>
            <w:vAlign w:val="center"/>
          </w:tcPr>
          <w:p>
            <w:pPr>
              <w:keepNext w:val="0"/>
              <w:keepLines w:val="0"/>
              <w:widowControl/>
              <w:suppressLineNumbers w:val="0"/>
              <w:jc w:val="center"/>
              <w:textAlignment w:val="center"/>
              <w:rPr>
                <w:rFonts w:hint="eastAsia" w:ascii="仿宋_GB2312" w:hAnsi="仿宋" w:eastAsia="仿宋_GB2312"/>
                <w:color w:val="auto"/>
                <w:sz w:val="28"/>
                <w:szCs w:val="28"/>
                <w:highlight w:val="none"/>
                <w:vertAlign w:val="baseline"/>
                <w:lang w:val="en-US" w:eastAsia="zh-CN"/>
              </w:rPr>
            </w:pPr>
            <w:r>
              <w:rPr>
                <w:rFonts w:hint="eastAsia" w:ascii="宋体" w:hAnsi="宋体" w:eastAsia="宋体" w:cs="宋体"/>
                <w:i w:val="0"/>
                <w:iCs w:val="0"/>
                <w:color w:val="000000"/>
                <w:kern w:val="0"/>
                <w:sz w:val="24"/>
                <w:szCs w:val="24"/>
                <w:u w:val="none"/>
                <w:lang w:val="en-US" w:eastAsia="zh-CN" w:bidi="ar"/>
              </w:rPr>
              <w:t>商业</w:t>
            </w:r>
          </w:p>
        </w:tc>
        <w:tc>
          <w:tcPr>
            <w:tcW w:w="1363" w:type="dxa"/>
            <w:vAlign w:val="center"/>
          </w:tcPr>
          <w:p>
            <w:pPr>
              <w:keepNext w:val="0"/>
              <w:keepLines w:val="0"/>
              <w:widowControl/>
              <w:suppressLineNumbers w:val="0"/>
              <w:jc w:val="center"/>
              <w:textAlignment w:val="center"/>
              <w:rPr>
                <w:rFonts w:hint="eastAsia" w:ascii="仿宋_GB2312" w:hAnsi="仿宋" w:eastAsia="仿宋_GB2312"/>
                <w:color w:val="auto"/>
                <w:sz w:val="28"/>
                <w:szCs w:val="28"/>
                <w:highlight w:val="none"/>
                <w:vertAlign w:val="baseline"/>
                <w:lang w:val="en-US" w:eastAsia="zh-CN"/>
              </w:rPr>
            </w:pPr>
            <w:r>
              <w:rPr>
                <w:rFonts w:hint="eastAsia" w:ascii="宋体" w:hAnsi="宋体" w:eastAsia="宋体" w:cs="宋体"/>
                <w:i w:val="0"/>
                <w:iCs w:val="0"/>
                <w:color w:val="000000"/>
                <w:kern w:val="0"/>
                <w:sz w:val="24"/>
                <w:szCs w:val="24"/>
                <w:u w:val="none"/>
                <w:lang w:val="en-US" w:eastAsia="zh-CN" w:bidi="ar"/>
              </w:rPr>
              <w:t>23.76</w:t>
            </w:r>
          </w:p>
        </w:tc>
        <w:tc>
          <w:tcPr>
            <w:tcW w:w="1587" w:type="dxa"/>
            <w:vAlign w:val="center"/>
          </w:tcPr>
          <w:p>
            <w:pPr>
              <w:keepNext w:val="0"/>
              <w:keepLines w:val="0"/>
              <w:widowControl/>
              <w:suppressLineNumbers w:val="0"/>
              <w:jc w:val="center"/>
              <w:textAlignment w:val="center"/>
              <w:rPr>
                <w:rFonts w:hint="eastAsia" w:ascii="仿宋_GB2312" w:hAnsi="仿宋" w:eastAsia="仿宋_GB2312"/>
                <w:color w:val="auto"/>
                <w:sz w:val="28"/>
                <w:szCs w:val="28"/>
                <w:highlight w:val="none"/>
                <w:vertAlign w:val="baseline"/>
                <w:lang w:val="en-US" w:eastAsia="zh-CN"/>
              </w:rPr>
            </w:pPr>
            <w:r>
              <w:rPr>
                <w:rFonts w:hint="eastAsia" w:ascii="宋体" w:hAnsi="宋体" w:eastAsia="宋体" w:cs="宋体"/>
                <w:i w:val="0"/>
                <w:iCs w:val="0"/>
                <w:color w:val="000000"/>
                <w:kern w:val="0"/>
                <w:sz w:val="24"/>
                <w:szCs w:val="24"/>
                <w:u w:val="none"/>
                <w:lang w:val="en-US" w:eastAsia="zh-CN" w:bidi="ar"/>
              </w:rPr>
              <w:t xml:space="preserve">60.00 </w:t>
            </w:r>
          </w:p>
        </w:tc>
        <w:tc>
          <w:tcPr>
            <w:tcW w:w="1625" w:type="dxa"/>
            <w:vAlign w:val="center"/>
          </w:tcPr>
          <w:p>
            <w:pPr>
              <w:keepNext w:val="0"/>
              <w:keepLines w:val="0"/>
              <w:widowControl/>
              <w:suppressLineNumbers w:val="0"/>
              <w:jc w:val="center"/>
              <w:textAlignment w:val="center"/>
              <w:rPr>
                <w:rFonts w:hint="eastAsia" w:ascii="仿宋_GB2312" w:hAnsi="仿宋" w:eastAsia="仿宋_GB2312"/>
                <w:color w:val="auto"/>
                <w:sz w:val="28"/>
                <w:szCs w:val="28"/>
                <w:highlight w:val="none"/>
                <w:vertAlign w:val="baseline"/>
                <w:lang w:val="en-US" w:eastAsia="zh-CN"/>
              </w:rPr>
            </w:pPr>
            <w:r>
              <w:rPr>
                <w:rFonts w:hint="eastAsia" w:ascii="宋体" w:hAnsi="宋体" w:eastAsia="宋体" w:cs="宋体"/>
                <w:i w:val="0"/>
                <w:iCs w:val="0"/>
                <w:color w:val="000000"/>
                <w:kern w:val="0"/>
                <w:sz w:val="24"/>
                <w:szCs w:val="24"/>
                <w:u w:val="none"/>
                <w:lang w:val="en-US" w:eastAsia="zh-CN" w:bidi="ar"/>
              </w:rPr>
              <w:t xml:space="preserve">720.00 </w:t>
            </w:r>
          </w:p>
        </w:tc>
        <w:tc>
          <w:tcPr>
            <w:tcW w:w="1138"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17107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7" w:type="dxa"/>
            <w:gridSpan w:val="2"/>
            <w:vAlign w:val="center"/>
          </w:tcPr>
          <w:p>
            <w:pPr>
              <w:keepNext w:val="0"/>
              <w:keepLines w:val="0"/>
              <w:widowControl/>
              <w:suppressLineNumbers w:val="0"/>
              <w:jc w:val="center"/>
              <w:textAlignment w:val="center"/>
              <w:rPr>
                <w:rFonts w:hint="eastAsia" w:ascii="仿宋_GB2312" w:hAnsi="仿宋" w:eastAsia="仿宋_GB2312"/>
                <w:color w:val="auto"/>
                <w:sz w:val="28"/>
                <w:szCs w:val="28"/>
                <w:highlight w:val="none"/>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总计</w:t>
            </w:r>
          </w:p>
        </w:tc>
        <w:tc>
          <w:tcPr>
            <w:tcW w:w="850" w:type="dxa"/>
            <w:vAlign w:val="center"/>
          </w:tcPr>
          <w:p>
            <w:pPr>
              <w:jc w:val="center"/>
              <w:rPr>
                <w:rFonts w:hint="eastAsia" w:ascii="仿宋_GB2312" w:hAnsi="仿宋" w:eastAsia="仿宋_GB2312"/>
                <w:color w:val="auto"/>
                <w:sz w:val="28"/>
                <w:szCs w:val="28"/>
                <w:highlight w:val="none"/>
                <w:vertAlign w:val="baseline"/>
                <w:lang w:val="en-US" w:eastAsia="zh-CN"/>
              </w:rPr>
            </w:pPr>
          </w:p>
        </w:tc>
        <w:tc>
          <w:tcPr>
            <w:tcW w:w="1363" w:type="dxa"/>
            <w:vAlign w:val="center"/>
          </w:tcPr>
          <w:p>
            <w:pPr>
              <w:keepNext w:val="0"/>
              <w:keepLines w:val="0"/>
              <w:widowControl/>
              <w:suppressLineNumbers w:val="0"/>
              <w:jc w:val="center"/>
              <w:textAlignment w:val="center"/>
              <w:rPr>
                <w:rFonts w:hint="eastAsia" w:ascii="仿宋_GB2312" w:hAnsi="仿宋" w:eastAsia="仿宋_GB2312"/>
                <w:color w:val="auto"/>
                <w:sz w:val="28"/>
                <w:szCs w:val="28"/>
                <w:highlight w:val="none"/>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76.92</w:t>
            </w:r>
          </w:p>
        </w:tc>
        <w:tc>
          <w:tcPr>
            <w:tcW w:w="1587" w:type="dxa"/>
            <w:vAlign w:val="center"/>
          </w:tcPr>
          <w:p>
            <w:pPr>
              <w:jc w:val="center"/>
              <w:rPr>
                <w:rFonts w:hint="eastAsia" w:ascii="仿宋_GB2312" w:hAnsi="仿宋" w:eastAsia="仿宋_GB2312"/>
                <w:color w:val="auto"/>
                <w:sz w:val="28"/>
                <w:szCs w:val="28"/>
                <w:highlight w:val="none"/>
                <w:vertAlign w:val="baseline"/>
                <w:lang w:val="en-US" w:eastAsia="zh-CN"/>
              </w:rPr>
            </w:pPr>
          </w:p>
        </w:tc>
        <w:tc>
          <w:tcPr>
            <w:tcW w:w="1625" w:type="dxa"/>
            <w:vAlign w:val="center"/>
          </w:tcPr>
          <w:p>
            <w:pPr>
              <w:jc w:val="center"/>
              <w:rPr>
                <w:rFonts w:hint="eastAsia" w:ascii="仿宋_GB2312" w:hAnsi="仿宋" w:eastAsia="仿宋_GB2312"/>
                <w:color w:val="auto"/>
                <w:sz w:val="28"/>
                <w:szCs w:val="28"/>
                <w:highlight w:val="none"/>
                <w:vertAlign w:val="baseline"/>
                <w:lang w:val="en-US" w:eastAsia="zh-CN"/>
              </w:rPr>
            </w:pPr>
          </w:p>
        </w:tc>
        <w:tc>
          <w:tcPr>
            <w:tcW w:w="1138"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 xml:space="preserve">55382 </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2" w:firstLineChars="200"/>
        <w:textAlignment w:val="auto"/>
        <w:rPr>
          <w:rFonts w:hint="eastAsia" w:ascii="仿宋_GB2312" w:hAnsi="仿宋" w:eastAsia="仿宋_GB2312"/>
          <w:b/>
          <w:bCs/>
          <w:color w:val="auto"/>
          <w:sz w:val="28"/>
          <w:szCs w:val="28"/>
          <w:highlight w:val="none"/>
        </w:rPr>
      </w:pPr>
      <w:r>
        <w:rPr>
          <w:rFonts w:hint="eastAsia" w:ascii="仿宋_GB2312" w:hAnsi="仿宋" w:eastAsia="仿宋_GB2312"/>
          <w:b/>
          <w:bCs/>
          <w:color w:val="auto"/>
          <w:sz w:val="28"/>
          <w:szCs w:val="28"/>
          <w:highlight w:val="none"/>
          <w:lang w:val="en-US" w:eastAsia="zh-CN"/>
        </w:rPr>
        <w:t>十一、</w:t>
      </w:r>
      <w:r>
        <w:rPr>
          <w:rFonts w:hint="eastAsia" w:ascii="仿宋_GB2312" w:hAnsi="新宋体" w:eastAsia="仿宋_GB2312"/>
          <w:b/>
          <w:bCs/>
          <w:color w:val="auto"/>
          <w:sz w:val="28"/>
          <w:highlight w:val="none"/>
          <w:lang w:val="en-US" w:eastAsia="zh-CN"/>
        </w:rPr>
        <w:t xml:space="preserve">注册房地产估价师 </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新宋体" w:eastAsia="仿宋_GB2312"/>
          <w:color w:val="auto"/>
          <w:sz w:val="28"/>
          <w:highlight w:val="none"/>
        </w:rPr>
      </w:pPr>
      <w:r>
        <w:rPr>
          <w:rFonts w:hint="eastAsia" w:ascii="仿宋_GB2312" w:hAnsi="新宋体" w:eastAsia="仿宋_GB2312"/>
          <w:color w:val="auto"/>
          <w:sz w:val="28"/>
          <w:highlight w:val="none"/>
          <w:lang w:val="en-US" w:eastAsia="zh-CN"/>
        </w:rPr>
        <w:t xml:space="preserve">注册房地产估价师       </w:t>
      </w:r>
      <w:r>
        <w:rPr>
          <w:rFonts w:hint="eastAsia" w:ascii="仿宋_GB2312" w:hAnsi="新宋体" w:eastAsia="仿宋_GB2312"/>
          <w:color w:val="auto"/>
          <w:sz w:val="28"/>
          <w:highlight w:val="none"/>
        </w:rPr>
        <w:t>邵毅飞（注册号:4220050028）</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 w:eastAsia="仿宋_GB2312"/>
          <w:b/>
          <w:bCs/>
          <w:color w:val="auto"/>
          <w:sz w:val="28"/>
          <w:szCs w:val="28"/>
          <w:highlight w:val="none"/>
        </w:rPr>
      </w:pPr>
      <w:r>
        <w:rPr>
          <w:rFonts w:hint="eastAsia" w:ascii="仿宋_GB2312" w:hAnsi="新宋体" w:eastAsia="仿宋_GB2312"/>
          <w:color w:val="auto"/>
          <w:sz w:val="28"/>
          <w:highlight w:val="none"/>
          <w:lang w:val="en-US" w:eastAsia="zh-CN"/>
        </w:rPr>
        <w:t xml:space="preserve">注册房地产估价师       </w:t>
      </w:r>
      <w:r>
        <w:rPr>
          <w:rFonts w:hint="eastAsia" w:ascii="仿宋_GB2312" w:hAnsi="新宋体" w:eastAsia="仿宋_GB2312"/>
          <w:color w:val="auto"/>
          <w:sz w:val="28"/>
          <w:highlight w:val="none"/>
          <w:lang w:eastAsia="zh-CN"/>
        </w:rPr>
        <w:t>李</w:t>
      </w:r>
      <w:r>
        <w:rPr>
          <w:rFonts w:hint="eastAsia" w:ascii="仿宋_GB2312" w:hAnsi="新宋体" w:eastAsia="仿宋_GB2312"/>
          <w:color w:val="auto"/>
          <w:sz w:val="28"/>
          <w:highlight w:val="none"/>
        </w:rPr>
        <w:t xml:space="preserve">  </w:t>
      </w:r>
      <w:r>
        <w:rPr>
          <w:rFonts w:hint="eastAsia" w:ascii="仿宋_GB2312" w:hAnsi="新宋体" w:eastAsia="仿宋_GB2312"/>
          <w:color w:val="auto"/>
          <w:sz w:val="28"/>
          <w:highlight w:val="none"/>
          <w:lang w:eastAsia="zh-CN"/>
        </w:rPr>
        <w:t>宏</w:t>
      </w:r>
      <w:r>
        <w:rPr>
          <w:rFonts w:hint="eastAsia" w:ascii="仿宋_GB2312" w:hAnsi="新宋体" w:eastAsia="仿宋_GB2312"/>
          <w:color w:val="auto"/>
          <w:sz w:val="28"/>
          <w:highlight w:val="none"/>
        </w:rPr>
        <w:t>（注册号:</w:t>
      </w:r>
      <w:r>
        <w:rPr>
          <w:rFonts w:hint="eastAsia" w:ascii="仿宋_GB2312" w:hAnsi="新宋体" w:eastAsia="仿宋_GB2312"/>
          <w:color w:val="auto"/>
          <w:sz w:val="28"/>
          <w:highlight w:val="none"/>
          <w:lang w:eastAsia="zh-CN"/>
        </w:rPr>
        <w:t>4220000074）</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_GB2312" w:hAnsi="仿宋" w:eastAsia="仿宋_GB2312"/>
          <w:b/>
          <w:bCs/>
          <w:color w:val="auto"/>
          <w:sz w:val="28"/>
          <w:szCs w:val="28"/>
          <w:highlight w:val="none"/>
        </w:rPr>
      </w:pPr>
      <w:r>
        <w:rPr>
          <w:rFonts w:hint="eastAsia" w:ascii="仿宋_GB2312" w:hAnsi="仿宋" w:eastAsia="仿宋_GB2312"/>
          <w:b/>
          <w:bCs/>
          <w:color w:val="auto"/>
          <w:sz w:val="28"/>
          <w:szCs w:val="28"/>
          <w:highlight w:val="none"/>
        </w:rPr>
        <w:t>十二、实地查勘期</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 w:eastAsia="仿宋_GB2312"/>
          <w:color w:val="auto"/>
          <w:sz w:val="28"/>
          <w:szCs w:val="28"/>
          <w:highlight w:val="none"/>
          <w:lang w:eastAsia="zh-CN"/>
        </w:rPr>
      </w:pPr>
      <w:r>
        <w:rPr>
          <w:rFonts w:hint="eastAsia" w:ascii="仿宋_GB2312" w:hAnsi="仿宋" w:eastAsia="仿宋_GB2312"/>
          <w:color w:val="auto"/>
          <w:sz w:val="28"/>
          <w:szCs w:val="28"/>
          <w:highlight w:val="none"/>
          <w:lang w:eastAsia="zh-CN"/>
        </w:rPr>
        <w:t>二○二四年四月二十五日</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default" w:ascii="仿宋_GB2312" w:hAnsi="仿宋" w:eastAsia="仿宋_GB2312"/>
          <w:b/>
          <w:bCs/>
          <w:color w:val="auto"/>
          <w:sz w:val="28"/>
          <w:szCs w:val="28"/>
          <w:highlight w:val="none"/>
          <w:lang w:val="en-US" w:eastAsia="zh-CN"/>
        </w:rPr>
      </w:pPr>
      <w:r>
        <w:rPr>
          <w:rFonts w:hint="eastAsia" w:ascii="仿宋_GB2312" w:hAnsi="仿宋" w:eastAsia="仿宋_GB2312"/>
          <w:b/>
          <w:bCs/>
          <w:color w:val="auto"/>
          <w:sz w:val="28"/>
          <w:szCs w:val="28"/>
          <w:highlight w:val="none"/>
        </w:rPr>
        <w:t>十三、估价作业期</w:t>
      </w:r>
      <w:r>
        <w:rPr>
          <w:rFonts w:hint="eastAsia" w:ascii="仿宋_GB2312" w:hAnsi="仿宋" w:eastAsia="仿宋_GB2312"/>
          <w:b/>
          <w:bCs/>
          <w:color w:val="auto"/>
          <w:sz w:val="28"/>
          <w:szCs w:val="28"/>
          <w:highlight w:val="none"/>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default" w:ascii="仿宋_GB2312" w:hAnsi="仿宋" w:eastAsia="仿宋_GB2312"/>
          <w:color w:val="auto"/>
          <w:sz w:val="28"/>
          <w:szCs w:val="28"/>
          <w:highlight w:val="none"/>
          <w:lang w:val="en-US" w:eastAsia="zh-CN"/>
        </w:rPr>
      </w:pPr>
      <w:r>
        <w:rPr>
          <w:rFonts w:hint="eastAsia" w:ascii="仿宋_GB2312" w:hAnsi="仿宋" w:eastAsia="仿宋_GB2312"/>
          <w:color w:val="auto"/>
          <w:sz w:val="28"/>
          <w:szCs w:val="28"/>
          <w:highlight w:val="none"/>
          <w:lang w:eastAsia="zh-CN"/>
        </w:rPr>
        <w:t>二○二四年四月二十五日</w:t>
      </w:r>
      <w:r>
        <w:rPr>
          <w:rFonts w:hint="eastAsia" w:ascii="仿宋_GB2312" w:hAnsi="仿宋" w:eastAsia="仿宋_GB2312"/>
          <w:color w:val="auto"/>
          <w:sz w:val="28"/>
          <w:szCs w:val="28"/>
          <w:highlight w:val="none"/>
          <w:lang w:val="en-US" w:eastAsia="zh-CN"/>
        </w:rPr>
        <w:t>至</w:t>
      </w:r>
      <w:r>
        <w:rPr>
          <w:rFonts w:hint="eastAsia" w:ascii="仿宋_GB2312" w:hAnsi="仿宋" w:eastAsia="仿宋_GB2312"/>
          <w:color w:val="auto"/>
          <w:sz w:val="28"/>
          <w:szCs w:val="28"/>
          <w:highlight w:val="none"/>
          <w:lang w:eastAsia="zh-CN"/>
        </w:rPr>
        <w:t>二○二四年四月二十六日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2" w:firstLineChars="200"/>
        <w:textAlignment w:val="auto"/>
        <w:rPr>
          <w:rFonts w:hint="eastAsia" w:ascii="仿宋_GB2312" w:hAnsi="仿宋" w:eastAsia="仿宋_GB2312"/>
          <w:b/>
          <w:bCs/>
          <w:color w:val="auto"/>
          <w:sz w:val="28"/>
          <w:szCs w:val="28"/>
          <w:highlight w:val="none"/>
          <w:lang w:val="en-US" w:eastAsia="zh-CN"/>
        </w:rPr>
      </w:pPr>
      <w:r>
        <w:rPr>
          <w:rFonts w:hint="eastAsia" w:ascii="仿宋_GB2312" w:hAnsi="仿宋" w:eastAsia="仿宋_GB2312"/>
          <w:b/>
          <w:bCs/>
          <w:color w:val="auto"/>
          <w:sz w:val="28"/>
          <w:szCs w:val="28"/>
          <w:highlight w:val="none"/>
          <w:lang w:val="en-US" w:eastAsia="zh-CN"/>
        </w:rPr>
        <w:t>十四、估价报告有效期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仿宋_GB2312" w:hAnsi="仿宋" w:eastAsia="仿宋_GB2312"/>
          <w:color w:val="auto"/>
          <w:sz w:val="28"/>
          <w:szCs w:val="28"/>
          <w:highlight w:val="none"/>
          <w:lang w:val="en-US" w:eastAsia="zh-CN"/>
        </w:rPr>
      </w:pPr>
      <w:r>
        <w:rPr>
          <w:rFonts w:hint="eastAsia" w:ascii="仿宋_GB2312" w:hAnsi="仿宋" w:eastAsia="仿宋_GB2312"/>
          <w:color w:val="auto"/>
          <w:sz w:val="28"/>
          <w:szCs w:val="28"/>
          <w:highlight w:val="none"/>
          <w:lang w:val="en-US" w:eastAsia="zh-CN"/>
        </w:rPr>
        <w:t>本估价报告结果自本报告出具之日起壹年内有效。</w:t>
      </w:r>
    </w:p>
    <w:p>
      <w:pPr>
        <w:numPr>
          <w:ilvl w:val="0"/>
          <w:numId w:val="0"/>
        </w:numPr>
        <w:rPr>
          <w:rFonts w:hint="eastAsia" w:ascii="仿宋_GB2312" w:hAnsi="仿宋" w:eastAsia="仿宋_GB2312"/>
          <w:color w:val="auto"/>
          <w:sz w:val="28"/>
          <w:szCs w:val="28"/>
          <w:highlight w:val="none"/>
          <w:lang w:val="en-US" w:eastAsia="zh-CN"/>
        </w:rPr>
      </w:pPr>
      <w:r>
        <w:rPr>
          <w:rFonts w:hint="eastAsia" w:ascii="仿宋_GB2312" w:hAnsi="新宋体" w:eastAsia="仿宋_GB2312"/>
          <w:color w:val="auto"/>
          <w:sz w:val="28"/>
          <w:highlight w:val="none"/>
        </w:rPr>
        <w:drawing>
          <wp:anchor distT="0" distB="0" distL="114300" distR="114300" simplePos="0" relativeHeight="251661312" behindDoc="1" locked="0" layoutInCell="1" allowOverlap="1">
            <wp:simplePos x="0" y="0"/>
            <wp:positionH relativeFrom="column">
              <wp:posOffset>1693545</wp:posOffset>
            </wp:positionH>
            <wp:positionV relativeFrom="paragraph">
              <wp:posOffset>86360</wp:posOffset>
            </wp:positionV>
            <wp:extent cx="1001395" cy="971550"/>
            <wp:effectExtent l="0" t="0" r="8255" b="0"/>
            <wp:wrapTight wrapText="bothSides">
              <wp:wrapPolygon>
                <wp:start x="0" y="0"/>
                <wp:lineTo x="0" y="21176"/>
                <wp:lineTo x="21367" y="21176"/>
                <wp:lineTo x="21367" y="0"/>
                <wp:lineTo x="0" y="0"/>
              </wp:wrapPolygon>
            </wp:wrapTight>
            <wp:docPr id="4" name="图片 2" descr="C:/Users/King/AppData/Local/Temp/picturecompress_2021031617153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C:/Users/King/AppData/Local/Temp/picturecompress_20210316171536/output_1.jpgoutput_1"/>
                    <pic:cNvPicPr>
                      <a:picLocks noChangeAspect="1"/>
                    </pic:cNvPicPr>
                  </pic:nvPicPr>
                  <pic:blipFill>
                    <a:blip r:embed="rId6"/>
                    <a:stretch>
                      <a:fillRect/>
                    </a:stretch>
                  </pic:blipFill>
                  <pic:spPr>
                    <a:xfrm>
                      <a:off x="0" y="0"/>
                      <a:ext cx="1001395" cy="971550"/>
                    </a:xfrm>
                    <a:prstGeom prst="rect">
                      <a:avLst/>
                    </a:prstGeom>
                    <a:noFill/>
                    <a:ln>
                      <a:noFill/>
                    </a:ln>
                  </pic:spPr>
                </pic:pic>
              </a:graphicData>
            </a:graphic>
          </wp:anchor>
        </w:drawing>
      </w:r>
    </w:p>
    <w:p>
      <w:pPr>
        <w:numPr>
          <w:ilvl w:val="0"/>
          <w:numId w:val="0"/>
        </w:numPr>
        <w:ind w:firstLine="280" w:firstLineChars="100"/>
        <w:rPr>
          <w:rFonts w:hint="eastAsia" w:ascii="仿宋_GB2312" w:hAnsi="仿宋" w:eastAsia="仿宋_GB2312"/>
          <w:color w:val="auto"/>
          <w:sz w:val="28"/>
          <w:szCs w:val="28"/>
          <w:highlight w:val="none"/>
          <w:lang w:val="en-US" w:eastAsia="zh-CN"/>
        </w:rPr>
      </w:pPr>
      <w:r>
        <w:rPr>
          <w:rFonts w:hint="eastAsia" w:ascii="仿宋_GB2312" w:hAnsi="仿宋" w:eastAsia="仿宋_GB2312"/>
          <w:color w:val="auto"/>
          <w:sz w:val="28"/>
          <w:szCs w:val="28"/>
          <w:highlight w:val="none"/>
          <w:lang w:val="en-US" w:eastAsia="zh-CN"/>
        </w:rPr>
        <w:t>主评人员（签字）           （盖章）</w:t>
      </w:r>
    </w:p>
    <w:p>
      <w:pPr>
        <w:numPr>
          <w:ilvl w:val="0"/>
          <w:numId w:val="0"/>
        </w:numPr>
        <w:rPr>
          <w:rFonts w:hint="eastAsia" w:ascii="仿宋_GB2312" w:hAnsi="仿宋" w:eastAsia="仿宋_GB2312"/>
          <w:color w:val="auto"/>
          <w:sz w:val="28"/>
          <w:szCs w:val="28"/>
          <w:highlight w:val="none"/>
          <w:lang w:val="en-US" w:eastAsia="zh-CN"/>
        </w:rPr>
      </w:pPr>
    </w:p>
    <w:p>
      <w:pPr>
        <w:numPr>
          <w:ilvl w:val="0"/>
          <w:numId w:val="0"/>
        </w:numPr>
        <w:ind w:firstLine="560" w:firstLineChars="200"/>
        <w:rPr>
          <w:rFonts w:hint="eastAsia" w:ascii="仿宋_GB2312" w:hAnsi="仿宋" w:eastAsia="仿宋_GB2312"/>
          <w:color w:val="auto"/>
          <w:sz w:val="28"/>
          <w:szCs w:val="28"/>
          <w:highlight w:val="none"/>
          <w:lang w:val="en-US" w:eastAsia="zh-CN"/>
        </w:rPr>
      </w:pPr>
    </w:p>
    <w:p>
      <w:pPr>
        <w:numPr>
          <w:ilvl w:val="0"/>
          <w:numId w:val="0"/>
        </w:numPr>
        <w:ind w:firstLine="280" w:firstLineChars="100"/>
        <w:rPr>
          <w:rFonts w:hint="default" w:ascii="仿宋_GB2312" w:hAnsi="仿宋" w:eastAsia="仿宋_GB2312"/>
          <w:color w:val="auto"/>
          <w:sz w:val="28"/>
          <w:szCs w:val="28"/>
          <w:highlight w:val="none"/>
          <w:lang w:val="en-US" w:eastAsia="zh-CN"/>
        </w:rPr>
      </w:pPr>
      <w:r>
        <w:rPr>
          <w:rFonts w:hint="eastAsia" w:ascii="仿宋_GB2312" w:hAnsi="仿宋" w:eastAsia="仿宋_GB2312"/>
          <w:color w:val="auto"/>
          <w:sz w:val="28"/>
          <w:szCs w:val="28"/>
          <w:highlight w:val="none"/>
          <w:lang w:val="en-US" w:eastAsia="zh-CN"/>
        </w:rPr>
        <w:t>审核人员（签字）              （盖章）</w:t>
      </w:r>
    </w:p>
    <w:p>
      <w:pPr>
        <w:rPr>
          <w:rFonts w:hint="eastAsia" w:ascii="仿宋_GB2312" w:eastAsia="仿宋_GB2312"/>
          <w:b/>
          <w:color w:val="auto"/>
          <w:sz w:val="32"/>
          <w:szCs w:val="36"/>
          <w:highlight w:val="none"/>
        </w:rPr>
      </w:pPr>
    </w:p>
    <w:p>
      <w:pPr>
        <w:spacing w:line="380" w:lineRule="exact"/>
        <w:jc w:val="center"/>
        <w:rPr>
          <w:rFonts w:hint="eastAsia" w:ascii="仿宋_GB2312" w:hAnsi="仿宋" w:eastAsia="仿宋_GB2312"/>
          <w:color w:val="auto"/>
          <w:sz w:val="28"/>
          <w:szCs w:val="28"/>
          <w:highlight w:val="none"/>
          <w:lang w:val="en-US" w:eastAsia="zh-CN"/>
        </w:rPr>
      </w:pPr>
    </w:p>
    <w:p>
      <w:pPr>
        <w:spacing w:line="380" w:lineRule="exact"/>
        <w:ind w:firstLine="3640" w:firstLineChars="1300"/>
        <w:jc w:val="both"/>
        <w:rPr>
          <w:rFonts w:hint="eastAsia" w:ascii="仿宋_GB2312" w:hAnsi="仿宋" w:eastAsia="仿宋_GB2312"/>
          <w:color w:val="auto"/>
          <w:sz w:val="28"/>
          <w:szCs w:val="28"/>
          <w:highlight w:val="none"/>
          <w:lang w:val="en-US" w:eastAsia="zh-CN"/>
        </w:rPr>
      </w:pPr>
      <w:r>
        <w:rPr>
          <w:rFonts w:hint="eastAsia" w:ascii="仿宋_GB2312" w:hAnsi="仿宋" w:eastAsia="仿宋_GB2312"/>
          <w:color w:val="auto"/>
          <w:sz w:val="28"/>
          <w:szCs w:val="28"/>
          <w:highlight w:val="none"/>
          <w:lang w:eastAsia="zh-CN"/>
        </w:rPr>
        <w:t>湖北德高房地产资产评估有限公司</w:t>
      </w:r>
      <w:r>
        <w:rPr>
          <w:rFonts w:hint="eastAsia" w:ascii="仿宋_GB2312" w:hAnsi="仿宋" w:eastAsia="仿宋_GB2312"/>
          <w:color w:val="auto"/>
          <w:sz w:val="28"/>
          <w:szCs w:val="28"/>
          <w:highlight w:val="none"/>
        </w:rPr>
        <w:t xml:space="preserve">                            </w:t>
      </w:r>
      <w:r>
        <w:rPr>
          <w:rFonts w:hint="eastAsia" w:ascii="仿宋_GB2312" w:hAnsi="仿宋" w:eastAsia="仿宋_GB2312"/>
          <w:color w:val="auto"/>
          <w:sz w:val="28"/>
          <w:szCs w:val="28"/>
          <w:highlight w:val="none"/>
          <w:lang w:val="en-US" w:eastAsia="zh-CN"/>
        </w:rPr>
        <w:t xml:space="preserve"> </w:t>
      </w:r>
      <w:r>
        <w:rPr>
          <w:rFonts w:hint="eastAsia" w:ascii="仿宋_GB2312" w:hAnsi="仿宋" w:eastAsia="仿宋_GB2312"/>
          <w:color w:val="auto"/>
          <w:sz w:val="28"/>
          <w:szCs w:val="28"/>
          <w:highlight w:val="none"/>
        </w:rPr>
        <w:t xml:space="preserve">    </w:t>
      </w:r>
      <w:r>
        <w:rPr>
          <w:rFonts w:hint="eastAsia" w:ascii="仿宋_GB2312" w:hAnsi="仿宋" w:eastAsia="仿宋_GB2312"/>
          <w:color w:val="auto"/>
          <w:sz w:val="28"/>
          <w:szCs w:val="28"/>
          <w:highlight w:val="none"/>
          <w:lang w:val="en-US" w:eastAsia="zh-CN"/>
        </w:rPr>
        <w:t xml:space="preserve">                                                                                   </w:t>
      </w:r>
    </w:p>
    <w:p>
      <w:pPr>
        <w:spacing w:line="380" w:lineRule="exact"/>
        <w:jc w:val="center"/>
        <w:rPr>
          <w:rFonts w:hint="eastAsia" w:ascii="仿宋_GB2312" w:hAnsi="仿宋" w:eastAsia="仿宋_GB2312"/>
          <w:color w:val="auto"/>
          <w:sz w:val="28"/>
          <w:szCs w:val="28"/>
          <w:highlight w:val="none"/>
          <w:lang w:val="en-US" w:eastAsia="zh-CN"/>
        </w:rPr>
      </w:pPr>
      <w:r>
        <w:rPr>
          <w:rFonts w:hint="eastAsia" w:ascii="仿宋_GB2312" w:hAnsi="仿宋" w:eastAsia="仿宋_GB2312"/>
          <w:color w:val="auto"/>
          <w:sz w:val="28"/>
          <w:szCs w:val="28"/>
          <w:highlight w:val="none"/>
          <w:lang w:val="en-US" w:eastAsia="zh-CN"/>
        </w:rPr>
        <w:t xml:space="preserve">                               </w:t>
      </w:r>
    </w:p>
    <w:p>
      <w:pPr>
        <w:spacing w:line="380" w:lineRule="exact"/>
        <w:jc w:val="center"/>
        <w:rPr>
          <w:rFonts w:hint="eastAsia" w:ascii="仿宋_GB2312" w:hAnsi="仿宋" w:eastAsia="仿宋_GB2312"/>
          <w:color w:val="auto"/>
          <w:sz w:val="28"/>
          <w:szCs w:val="28"/>
          <w:highlight w:val="none"/>
          <w:lang w:val="en-US" w:eastAsia="zh-CN"/>
        </w:rPr>
      </w:pPr>
      <w:r>
        <w:rPr>
          <w:rFonts w:hint="eastAsia" w:ascii="仿宋_GB2312" w:hAnsi="仿宋" w:eastAsia="仿宋_GB2312"/>
          <w:color w:val="auto"/>
          <w:sz w:val="28"/>
          <w:szCs w:val="28"/>
          <w:highlight w:val="none"/>
          <w:lang w:val="en-US" w:eastAsia="zh-CN"/>
        </w:rPr>
        <w:t xml:space="preserve">                       </w:t>
      </w:r>
      <w:r>
        <w:rPr>
          <w:rFonts w:hint="eastAsia" w:ascii="仿宋_GB2312" w:hAnsi="仿宋" w:eastAsia="仿宋_GB2312"/>
          <w:color w:val="auto"/>
          <w:sz w:val="28"/>
          <w:szCs w:val="28"/>
          <w:highlight w:val="none"/>
          <w:lang w:eastAsia="zh-CN"/>
        </w:rPr>
        <w:t>二○二四年四月二十六日</w:t>
      </w:r>
    </w:p>
    <w:p>
      <w:pPr>
        <w:rPr>
          <w:rFonts w:hint="default" w:ascii="仿宋_GB2312" w:hAnsi="仿宋" w:eastAsia="仿宋_GB2312"/>
          <w:color w:val="auto"/>
          <w:sz w:val="28"/>
          <w:szCs w:val="28"/>
          <w:highlight w:val="none"/>
          <w:lang w:val="en-US" w:eastAsia="zh-CN"/>
        </w:rPr>
      </w:pPr>
      <w:r>
        <w:rPr>
          <w:rFonts w:hint="default" w:ascii="仿宋_GB2312" w:hAnsi="仿宋" w:eastAsia="仿宋_GB2312"/>
          <w:color w:val="auto"/>
          <w:sz w:val="28"/>
          <w:szCs w:val="28"/>
          <w:highlight w:val="none"/>
          <w:lang w:val="en-US" w:eastAsia="zh-CN"/>
        </w:rPr>
        <w:br w:type="page"/>
      </w:r>
    </w:p>
    <w:p>
      <w:pPr>
        <w:pStyle w:val="2"/>
        <w:numPr>
          <w:ilvl w:val="0"/>
          <w:numId w:val="0"/>
        </w:numPr>
        <w:tabs>
          <w:tab w:val="left" w:pos="1050"/>
        </w:tabs>
      </w:pPr>
      <w:bookmarkStart w:id="22" w:name="_Toc29983321"/>
      <w:r>
        <w:rPr>
          <w:rFonts w:hint="eastAsia"/>
        </w:rPr>
        <w:t>附     件</w:t>
      </w:r>
      <w:bookmarkEnd w:id="22"/>
    </w:p>
    <w:p>
      <w:pPr>
        <w:spacing w:line="520" w:lineRule="exact"/>
        <w:rPr>
          <w:rFonts w:ascii="宋体" w:hAnsi="新宋体"/>
          <w:b/>
          <w:bCs/>
          <w:sz w:val="32"/>
        </w:rPr>
      </w:pPr>
    </w:p>
    <w:p>
      <w:pPr>
        <w:spacing w:line="520" w:lineRule="exact"/>
        <w:ind w:firstLine="560" w:firstLineChars="200"/>
        <w:rPr>
          <w:rFonts w:ascii="仿宋_GB2312" w:hAnsi="新宋体" w:eastAsia="仿宋_GB2312"/>
          <w:sz w:val="28"/>
        </w:rPr>
      </w:pPr>
      <w:r>
        <w:rPr>
          <w:rFonts w:hint="eastAsia" w:ascii="仿宋_GB2312" w:hAnsi="新宋体" w:eastAsia="仿宋_GB2312"/>
          <w:sz w:val="28"/>
        </w:rPr>
        <w:t>1、估价对象区域位置</w:t>
      </w:r>
      <w:r>
        <w:rPr>
          <w:rFonts w:hint="eastAsia" w:ascii="仿宋_GB2312" w:hAnsi="新宋体" w:eastAsia="仿宋_GB2312"/>
          <w:sz w:val="28"/>
          <w:lang w:val="en-US" w:eastAsia="zh-CN"/>
        </w:rPr>
        <w:t>示意</w:t>
      </w:r>
      <w:r>
        <w:rPr>
          <w:rFonts w:hint="eastAsia" w:ascii="仿宋_GB2312" w:hAnsi="新宋体" w:eastAsia="仿宋_GB2312"/>
          <w:sz w:val="28"/>
        </w:rPr>
        <w:t>图</w:t>
      </w:r>
    </w:p>
    <w:p>
      <w:pPr>
        <w:spacing w:line="520" w:lineRule="exact"/>
        <w:ind w:firstLine="560" w:firstLineChars="200"/>
        <w:rPr>
          <w:rFonts w:ascii="仿宋_GB2312" w:hAnsi="宋体" w:eastAsia="仿宋_GB2312"/>
          <w:sz w:val="28"/>
          <w:szCs w:val="28"/>
        </w:rPr>
      </w:pPr>
      <w:r>
        <w:rPr>
          <w:rFonts w:hint="eastAsia" w:ascii="仿宋_GB2312" w:hAnsi="新宋体" w:eastAsia="仿宋_GB2312"/>
          <w:sz w:val="28"/>
        </w:rPr>
        <w:t>2、</w:t>
      </w:r>
      <w:r>
        <w:rPr>
          <w:rFonts w:hint="eastAsia" w:ascii="仿宋_GB2312" w:hAnsi="宋体" w:eastAsia="仿宋_GB2312"/>
          <w:sz w:val="28"/>
          <w:szCs w:val="28"/>
        </w:rPr>
        <w:t>估价对象现状利用照片</w:t>
      </w:r>
    </w:p>
    <w:p>
      <w:pPr>
        <w:spacing w:line="520" w:lineRule="exact"/>
        <w:ind w:firstLine="560" w:firstLineChars="200"/>
        <w:rPr>
          <w:rFonts w:ascii="仿宋_GB2312" w:hAnsi="新宋体" w:eastAsia="仿宋_GB2312"/>
          <w:sz w:val="28"/>
        </w:rPr>
      </w:pPr>
      <w:r>
        <w:rPr>
          <w:rFonts w:hint="eastAsia" w:ascii="仿宋_GB2312" w:hAnsi="新宋体" w:eastAsia="仿宋_GB2312"/>
          <w:sz w:val="28"/>
        </w:rPr>
        <w:t>3、《</w:t>
      </w:r>
      <w:r>
        <w:rPr>
          <w:rFonts w:hint="eastAsia" w:ascii="仿宋_GB2312" w:hAnsi="新宋体" w:eastAsia="仿宋_GB2312"/>
          <w:sz w:val="28"/>
          <w:lang w:val="en-US" w:eastAsia="zh-CN"/>
        </w:rPr>
        <w:t>房地产平面图</w:t>
      </w:r>
      <w:r>
        <w:rPr>
          <w:rFonts w:hint="eastAsia" w:ascii="仿宋_GB2312" w:hAnsi="新宋体" w:eastAsia="仿宋_GB2312"/>
          <w:sz w:val="28"/>
        </w:rPr>
        <w:t>》复印件</w:t>
      </w:r>
    </w:p>
    <w:p>
      <w:pPr>
        <w:spacing w:line="520" w:lineRule="exact"/>
        <w:ind w:firstLine="560" w:firstLineChars="200"/>
        <w:rPr>
          <w:rFonts w:ascii="仿宋_GB2312" w:hAnsi="新宋体" w:eastAsia="仿宋_GB2312"/>
          <w:sz w:val="28"/>
        </w:rPr>
      </w:pPr>
      <w:r>
        <w:rPr>
          <w:rFonts w:hint="eastAsia" w:ascii="仿宋_GB2312" w:hAnsi="宋体" w:eastAsia="仿宋_GB2312"/>
          <w:sz w:val="28"/>
          <w:szCs w:val="28"/>
          <w:lang w:val="en-US" w:eastAsia="zh-CN"/>
        </w:rPr>
        <w:t>4</w:t>
      </w:r>
      <w:r>
        <w:rPr>
          <w:rFonts w:hint="eastAsia" w:ascii="仿宋_GB2312" w:hAnsi="宋体" w:eastAsia="仿宋_GB2312"/>
          <w:sz w:val="28"/>
          <w:szCs w:val="28"/>
        </w:rPr>
        <w:t>、估价机构营业执照及资质证书</w:t>
      </w:r>
      <w:r>
        <w:rPr>
          <w:rFonts w:hint="eastAsia" w:ascii="仿宋_GB2312" w:hAnsi="新宋体" w:eastAsia="仿宋_GB2312"/>
          <w:sz w:val="28"/>
        </w:rPr>
        <w:t>复印件</w:t>
      </w:r>
    </w:p>
    <w:p>
      <w:pPr>
        <w:spacing w:line="520" w:lineRule="exact"/>
        <w:ind w:firstLine="560" w:firstLineChars="200"/>
        <w:rPr>
          <w:rFonts w:ascii="仿宋_GB2312" w:hAnsi="新宋体" w:eastAsia="仿宋_GB2312"/>
          <w:sz w:val="28"/>
        </w:rPr>
      </w:pPr>
      <w:r>
        <w:rPr>
          <w:rFonts w:hint="eastAsia" w:ascii="仿宋_GB2312" w:hAnsi="新宋体" w:eastAsia="仿宋_GB2312"/>
          <w:sz w:val="28"/>
          <w:lang w:val="en-US" w:eastAsia="zh-CN"/>
        </w:rPr>
        <w:t>5、</w:t>
      </w:r>
      <w:r>
        <w:rPr>
          <w:rFonts w:hint="eastAsia" w:ascii="仿宋_GB2312" w:hAnsi="新宋体" w:eastAsia="仿宋_GB2312"/>
          <w:sz w:val="28"/>
        </w:rPr>
        <w:t>房地产估价师注册证复印件</w:t>
      </w:r>
    </w:p>
    <w:p>
      <w:pPr>
        <w:tabs>
          <w:tab w:val="left" w:pos="851"/>
          <w:tab w:val="left" w:pos="1701"/>
          <w:tab w:val="left" w:pos="2127"/>
          <w:tab w:val="left" w:pos="2977"/>
          <w:tab w:val="left" w:pos="3261"/>
          <w:tab w:val="left" w:pos="3828"/>
          <w:tab w:val="left" w:pos="4536"/>
          <w:tab w:val="left" w:pos="5103"/>
          <w:tab w:val="left" w:pos="5529"/>
          <w:tab w:val="left" w:pos="5954"/>
          <w:tab w:val="left" w:pos="6379"/>
          <w:tab w:val="left" w:pos="6663"/>
          <w:tab w:val="left" w:pos="7088"/>
          <w:tab w:val="left" w:pos="7513"/>
          <w:tab w:val="left" w:pos="7938"/>
        </w:tabs>
        <w:spacing w:line="480" w:lineRule="exact"/>
        <w:jc w:val="center"/>
        <w:rPr>
          <w:rFonts w:hint="eastAsia" w:eastAsia="新宋体"/>
          <w:b/>
          <w:bCs/>
          <w:sz w:val="30"/>
        </w:rPr>
      </w:pPr>
    </w:p>
    <w:p>
      <w:pPr>
        <w:tabs>
          <w:tab w:val="left" w:pos="851"/>
          <w:tab w:val="left" w:pos="1701"/>
          <w:tab w:val="left" w:pos="2127"/>
          <w:tab w:val="left" w:pos="2977"/>
          <w:tab w:val="left" w:pos="3261"/>
          <w:tab w:val="left" w:pos="3828"/>
          <w:tab w:val="left" w:pos="4536"/>
          <w:tab w:val="left" w:pos="5103"/>
          <w:tab w:val="left" w:pos="5529"/>
          <w:tab w:val="left" w:pos="5954"/>
          <w:tab w:val="left" w:pos="6379"/>
          <w:tab w:val="left" w:pos="6663"/>
          <w:tab w:val="left" w:pos="7088"/>
          <w:tab w:val="left" w:pos="7513"/>
          <w:tab w:val="left" w:pos="7938"/>
        </w:tabs>
        <w:spacing w:line="480" w:lineRule="exact"/>
        <w:jc w:val="center"/>
        <w:rPr>
          <w:rFonts w:hint="eastAsia" w:eastAsia="新宋体"/>
          <w:b/>
          <w:bCs/>
          <w:sz w:val="30"/>
        </w:rPr>
      </w:pPr>
    </w:p>
    <w:p>
      <w:pPr>
        <w:tabs>
          <w:tab w:val="left" w:pos="851"/>
          <w:tab w:val="left" w:pos="1701"/>
          <w:tab w:val="left" w:pos="2127"/>
          <w:tab w:val="left" w:pos="2977"/>
          <w:tab w:val="left" w:pos="3261"/>
          <w:tab w:val="left" w:pos="3828"/>
          <w:tab w:val="left" w:pos="4536"/>
          <w:tab w:val="left" w:pos="5103"/>
          <w:tab w:val="left" w:pos="5529"/>
          <w:tab w:val="left" w:pos="5954"/>
          <w:tab w:val="left" w:pos="6379"/>
          <w:tab w:val="left" w:pos="6663"/>
          <w:tab w:val="left" w:pos="7088"/>
          <w:tab w:val="left" w:pos="7513"/>
          <w:tab w:val="left" w:pos="7938"/>
        </w:tabs>
        <w:spacing w:line="480" w:lineRule="exact"/>
        <w:jc w:val="center"/>
        <w:rPr>
          <w:rFonts w:hint="eastAsia" w:eastAsia="新宋体"/>
          <w:b/>
          <w:bCs/>
          <w:sz w:val="30"/>
        </w:rPr>
      </w:pPr>
    </w:p>
    <w:p>
      <w:pPr>
        <w:tabs>
          <w:tab w:val="left" w:pos="851"/>
          <w:tab w:val="left" w:pos="1701"/>
          <w:tab w:val="left" w:pos="2127"/>
          <w:tab w:val="left" w:pos="2977"/>
          <w:tab w:val="left" w:pos="3261"/>
          <w:tab w:val="left" w:pos="3828"/>
          <w:tab w:val="left" w:pos="4536"/>
          <w:tab w:val="left" w:pos="5103"/>
          <w:tab w:val="left" w:pos="5529"/>
          <w:tab w:val="left" w:pos="5954"/>
          <w:tab w:val="left" w:pos="6379"/>
          <w:tab w:val="left" w:pos="6663"/>
          <w:tab w:val="left" w:pos="7088"/>
          <w:tab w:val="left" w:pos="7513"/>
          <w:tab w:val="left" w:pos="7938"/>
        </w:tabs>
        <w:spacing w:line="480" w:lineRule="exact"/>
        <w:jc w:val="center"/>
        <w:rPr>
          <w:rFonts w:hint="eastAsia" w:eastAsia="新宋体"/>
          <w:b/>
          <w:bCs/>
          <w:sz w:val="30"/>
        </w:rPr>
      </w:pPr>
    </w:p>
    <w:p>
      <w:pPr>
        <w:tabs>
          <w:tab w:val="left" w:pos="851"/>
          <w:tab w:val="left" w:pos="1701"/>
          <w:tab w:val="left" w:pos="2127"/>
          <w:tab w:val="left" w:pos="2977"/>
          <w:tab w:val="left" w:pos="3261"/>
          <w:tab w:val="left" w:pos="3828"/>
          <w:tab w:val="left" w:pos="4536"/>
          <w:tab w:val="left" w:pos="5103"/>
          <w:tab w:val="left" w:pos="5529"/>
          <w:tab w:val="left" w:pos="5954"/>
          <w:tab w:val="left" w:pos="6379"/>
          <w:tab w:val="left" w:pos="6663"/>
          <w:tab w:val="left" w:pos="7088"/>
          <w:tab w:val="left" w:pos="7513"/>
          <w:tab w:val="left" w:pos="7938"/>
        </w:tabs>
        <w:spacing w:line="480" w:lineRule="exact"/>
        <w:jc w:val="center"/>
        <w:rPr>
          <w:rFonts w:hint="eastAsia" w:eastAsia="新宋体"/>
          <w:b/>
          <w:bCs/>
          <w:sz w:val="30"/>
        </w:rPr>
      </w:pPr>
    </w:p>
    <w:p>
      <w:pPr>
        <w:tabs>
          <w:tab w:val="left" w:pos="851"/>
          <w:tab w:val="left" w:pos="1701"/>
          <w:tab w:val="left" w:pos="2127"/>
          <w:tab w:val="left" w:pos="2977"/>
          <w:tab w:val="left" w:pos="3261"/>
          <w:tab w:val="left" w:pos="3828"/>
          <w:tab w:val="left" w:pos="4536"/>
          <w:tab w:val="left" w:pos="5103"/>
          <w:tab w:val="left" w:pos="5529"/>
          <w:tab w:val="left" w:pos="5954"/>
          <w:tab w:val="left" w:pos="6379"/>
          <w:tab w:val="left" w:pos="6663"/>
          <w:tab w:val="left" w:pos="7088"/>
          <w:tab w:val="left" w:pos="7513"/>
          <w:tab w:val="left" w:pos="7938"/>
        </w:tabs>
        <w:spacing w:line="480" w:lineRule="exact"/>
        <w:jc w:val="center"/>
        <w:rPr>
          <w:rFonts w:hint="eastAsia" w:eastAsia="新宋体"/>
          <w:b/>
          <w:bCs/>
          <w:sz w:val="30"/>
        </w:rPr>
      </w:pPr>
    </w:p>
    <w:p>
      <w:pPr>
        <w:tabs>
          <w:tab w:val="left" w:pos="851"/>
          <w:tab w:val="left" w:pos="1701"/>
          <w:tab w:val="left" w:pos="2127"/>
          <w:tab w:val="left" w:pos="2977"/>
          <w:tab w:val="left" w:pos="3261"/>
          <w:tab w:val="left" w:pos="3828"/>
          <w:tab w:val="left" w:pos="4536"/>
          <w:tab w:val="left" w:pos="5103"/>
          <w:tab w:val="left" w:pos="5529"/>
          <w:tab w:val="left" w:pos="5954"/>
          <w:tab w:val="left" w:pos="6379"/>
          <w:tab w:val="left" w:pos="6663"/>
          <w:tab w:val="left" w:pos="7088"/>
          <w:tab w:val="left" w:pos="7513"/>
          <w:tab w:val="left" w:pos="7938"/>
        </w:tabs>
        <w:spacing w:line="480" w:lineRule="exact"/>
        <w:jc w:val="center"/>
        <w:rPr>
          <w:rFonts w:hint="eastAsia" w:eastAsia="新宋体"/>
          <w:b/>
          <w:bCs/>
          <w:sz w:val="30"/>
        </w:rPr>
      </w:pPr>
    </w:p>
    <w:p>
      <w:pPr>
        <w:tabs>
          <w:tab w:val="left" w:pos="851"/>
          <w:tab w:val="left" w:pos="1701"/>
          <w:tab w:val="left" w:pos="2127"/>
          <w:tab w:val="left" w:pos="2977"/>
          <w:tab w:val="left" w:pos="3261"/>
          <w:tab w:val="left" w:pos="3828"/>
          <w:tab w:val="left" w:pos="4536"/>
          <w:tab w:val="left" w:pos="5103"/>
          <w:tab w:val="left" w:pos="5529"/>
          <w:tab w:val="left" w:pos="5954"/>
          <w:tab w:val="left" w:pos="6379"/>
          <w:tab w:val="left" w:pos="6663"/>
          <w:tab w:val="left" w:pos="7088"/>
          <w:tab w:val="left" w:pos="7513"/>
          <w:tab w:val="left" w:pos="7938"/>
        </w:tabs>
        <w:spacing w:line="480" w:lineRule="exact"/>
        <w:jc w:val="center"/>
        <w:rPr>
          <w:rFonts w:hint="eastAsia" w:eastAsia="新宋体"/>
          <w:b/>
          <w:bCs/>
          <w:sz w:val="30"/>
        </w:rPr>
      </w:pPr>
    </w:p>
    <w:p>
      <w:pPr>
        <w:tabs>
          <w:tab w:val="left" w:pos="851"/>
          <w:tab w:val="left" w:pos="1701"/>
          <w:tab w:val="left" w:pos="2127"/>
          <w:tab w:val="left" w:pos="2977"/>
          <w:tab w:val="left" w:pos="3261"/>
          <w:tab w:val="left" w:pos="3828"/>
          <w:tab w:val="left" w:pos="4536"/>
          <w:tab w:val="left" w:pos="5103"/>
          <w:tab w:val="left" w:pos="5529"/>
          <w:tab w:val="left" w:pos="5954"/>
          <w:tab w:val="left" w:pos="6379"/>
          <w:tab w:val="left" w:pos="6663"/>
          <w:tab w:val="left" w:pos="7088"/>
          <w:tab w:val="left" w:pos="7513"/>
          <w:tab w:val="left" w:pos="7938"/>
        </w:tabs>
        <w:spacing w:line="480" w:lineRule="exact"/>
        <w:jc w:val="center"/>
        <w:rPr>
          <w:rFonts w:hint="eastAsia" w:eastAsia="新宋体"/>
          <w:b/>
          <w:bCs/>
          <w:sz w:val="30"/>
        </w:rPr>
      </w:pPr>
    </w:p>
    <w:p>
      <w:pPr>
        <w:tabs>
          <w:tab w:val="left" w:pos="851"/>
          <w:tab w:val="left" w:pos="1701"/>
          <w:tab w:val="left" w:pos="2127"/>
          <w:tab w:val="left" w:pos="2977"/>
          <w:tab w:val="left" w:pos="3261"/>
          <w:tab w:val="left" w:pos="3828"/>
          <w:tab w:val="left" w:pos="4536"/>
          <w:tab w:val="left" w:pos="5103"/>
          <w:tab w:val="left" w:pos="5529"/>
          <w:tab w:val="left" w:pos="5954"/>
          <w:tab w:val="left" w:pos="6379"/>
          <w:tab w:val="left" w:pos="6663"/>
          <w:tab w:val="left" w:pos="7088"/>
          <w:tab w:val="left" w:pos="7513"/>
          <w:tab w:val="left" w:pos="7938"/>
        </w:tabs>
        <w:spacing w:line="480" w:lineRule="exact"/>
        <w:jc w:val="center"/>
        <w:rPr>
          <w:rFonts w:hint="eastAsia" w:eastAsia="新宋体"/>
          <w:b/>
          <w:bCs/>
          <w:sz w:val="30"/>
        </w:rPr>
      </w:pPr>
    </w:p>
    <w:p>
      <w:pPr>
        <w:tabs>
          <w:tab w:val="left" w:pos="851"/>
          <w:tab w:val="left" w:pos="1701"/>
          <w:tab w:val="left" w:pos="2127"/>
          <w:tab w:val="left" w:pos="2977"/>
          <w:tab w:val="left" w:pos="3261"/>
          <w:tab w:val="left" w:pos="3828"/>
          <w:tab w:val="left" w:pos="4536"/>
          <w:tab w:val="left" w:pos="5103"/>
          <w:tab w:val="left" w:pos="5529"/>
          <w:tab w:val="left" w:pos="5954"/>
          <w:tab w:val="left" w:pos="6379"/>
          <w:tab w:val="left" w:pos="6663"/>
          <w:tab w:val="left" w:pos="7088"/>
          <w:tab w:val="left" w:pos="7513"/>
          <w:tab w:val="left" w:pos="7938"/>
        </w:tabs>
        <w:spacing w:line="480" w:lineRule="exact"/>
        <w:jc w:val="center"/>
        <w:rPr>
          <w:rFonts w:hint="eastAsia" w:eastAsia="新宋体"/>
          <w:b/>
          <w:bCs/>
          <w:sz w:val="30"/>
        </w:rPr>
      </w:pPr>
    </w:p>
    <w:p>
      <w:pPr>
        <w:tabs>
          <w:tab w:val="left" w:pos="851"/>
          <w:tab w:val="left" w:pos="1701"/>
          <w:tab w:val="left" w:pos="2127"/>
          <w:tab w:val="left" w:pos="2977"/>
          <w:tab w:val="left" w:pos="3261"/>
          <w:tab w:val="left" w:pos="3828"/>
          <w:tab w:val="left" w:pos="4536"/>
          <w:tab w:val="left" w:pos="5103"/>
          <w:tab w:val="left" w:pos="5529"/>
          <w:tab w:val="left" w:pos="5954"/>
          <w:tab w:val="left" w:pos="6379"/>
          <w:tab w:val="left" w:pos="6663"/>
          <w:tab w:val="left" w:pos="7088"/>
          <w:tab w:val="left" w:pos="7513"/>
          <w:tab w:val="left" w:pos="7938"/>
        </w:tabs>
        <w:spacing w:line="480" w:lineRule="exact"/>
        <w:jc w:val="center"/>
        <w:rPr>
          <w:rFonts w:hint="eastAsia" w:eastAsia="新宋体"/>
          <w:b/>
          <w:bCs/>
          <w:sz w:val="30"/>
        </w:rPr>
      </w:pPr>
    </w:p>
    <w:p>
      <w:pPr>
        <w:tabs>
          <w:tab w:val="left" w:pos="851"/>
          <w:tab w:val="left" w:pos="1701"/>
          <w:tab w:val="left" w:pos="2127"/>
          <w:tab w:val="left" w:pos="2977"/>
          <w:tab w:val="left" w:pos="3261"/>
          <w:tab w:val="left" w:pos="3828"/>
          <w:tab w:val="left" w:pos="4536"/>
          <w:tab w:val="left" w:pos="5103"/>
          <w:tab w:val="left" w:pos="5529"/>
          <w:tab w:val="left" w:pos="5954"/>
          <w:tab w:val="left" w:pos="6379"/>
          <w:tab w:val="left" w:pos="6663"/>
          <w:tab w:val="left" w:pos="7088"/>
          <w:tab w:val="left" w:pos="7513"/>
          <w:tab w:val="left" w:pos="7938"/>
        </w:tabs>
        <w:spacing w:line="480" w:lineRule="exact"/>
        <w:jc w:val="center"/>
        <w:rPr>
          <w:rFonts w:hint="eastAsia" w:eastAsia="新宋体"/>
          <w:b/>
          <w:bCs/>
          <w:sz w:val="30"/>
        </w:rPr>
      </w:pPr>
    </w:p>
    <w:p>
      <w:pPr>
        <w:tabs>
          <w:tab w:val="left" w:pos="851"/>
          <w:tab w:val="left" w:pos="1701"/>
          <w:tab w:val="left" w:pos="2127"/>
          <w:tab w:val="left" w:pos="2977"/>
          <w:tab w:val="left" w:pos="3261"/>
          <w:tab w:val="left" w:pos="3828"/>
          <w:tab w:val="left" w:pos="4536"/>
          <w:tab w:val="left" w:pos="5103"/>
          <w:tab w:val="left" w:pos="5529"/>
          <w:tab w:val="left" w:pos="5954"/>
          <w:tab w:val="left" w:pos="6379"/>
          <w:tab w:val="left" w:pos="6663"/>
          <w:tab w:val="left" w:pos="7088"/>
          <w:tab w:val="left" w:pos="7513"/>
          <w:tab w:val="left" w:pos="7938"/>
        </w:tabs>
        <w:spacing w:line="480" w:lineRule="exact"/>
        <w:jc w:val="center"/>
        <w:rPr>
          <w:rFonts w:hint="eastAsia" w:eastAsia="新宋体"/>
          <w:b/>
          <w:bCs/>
          <w:sz w:val="30"/>
        </w:rPr>
      </w:pPr>
    </w:p>
    <w:p>
      <w:pPr>
        <w:tabs>
          <w:tab w:val="left" w:pos="851"/>
          <w:tab w:val="left" w:pos="1701"/>
          <w:tab w:val="left" w:pos="2127"/>
          <w:tab w:val="left" w:pos="2977"/>
          <w:tab w:val="left" w:pos="3261"/>
          <w:tab w:val="left" w:pos="3828"/>
          <w:tab w:val="left" w:pos="4536"/>
          <w:tab w:val="left" w:pos="5103"/>
          <w:tab w:val="left" w:pos="5529"/>
          <w:tab w:val="left" w:pos="5954"/>
          <w:tab w:val="left" w:pos="6379"/>
          <w:tab w:val="left" w:pos="6663"/>
          <w:tab w:val="left" w:pos="7088"/>
          <w:tab w:val="left" w:pos="7513"/>
          <w:tab w:val="left" w:pos="7938"/>
        </w:tabs>
        <w:spacing w:line="480" w:lineRule="exact"/>
        <w:jc w:val="center"/>
        <w:rPr>
          <w:rFonts w:hint="eastAsia" w:eastAsia="新宋体"/>
          <w:b/>
          <w:bCs/>
          <w:sz w:val="30"/>
        </w:rPr>
      </w:pPr>
    </w:p>
    <w:p>
      <w:pPr>
        <w:tabs>
          <w:tab w:val="left" w:pos="851"/>
          <w:tab w:val="left" w:pos="1701"/>
          <w:tab w:val="left" w:pos="2127"/>
          <w:tab w:val="left" w:pos="2977"/>
          <w:tab w:val="left" w:pos="3261"/>
          <w:tab w:val="left" w:pos="3828"/>
          <w:tab w:val="left" w:pos="4536"/>
          <w:tab w:val="left" w:pos="5103"/>
          <w:tab w:val="left" w:pos="5529"/>
          <w:tab w:val="left" w:pos="5954"/>
          <w:tab w:val="left" w:pos="6379"/>
          <w:tab w:val="left" w:pos="6663"/>
          <w:tab w:val="left" w:pos="7088"/>
          <w:tab w:val="left" w:pos="7513"/>
          <w:tab w:val="left" w:pos="7938"/>
        </w:tabs>
        <w:spacing w:line="480" w:lineRule="exact"/>
        <w:jc w:val="center"/>
        <w:rPr>
          <w:rFonts w:hint="eastAsia" w:eastAsia="新宋体"/>
          <w:b/>
          <w:bCs/>
          <w:sz w:val="30"/>
        </w:rPr>
      </w:pPr>
    </w:p>
    <w:p>
      <w:pPr>
        <w:tabs>
          <w:tab w:val="left" w:pos="851"/>
          <w:tab w:val="left" w:pos="1701"/>
          <w:tab w:val="left" w:pos="2127"/>
          <w:tab w:val="left" w:pos="2977"/>
          <w:tab w:val="left" w:pos="3261"/>
          <w:tab w:val="left" w:pos="3828"/>
          <w:tab w:val="left" w:pos="4536"/>
          <w:tab w:val="left" w:pos="5103"/>
          <w:tab w:val="left" w:pos="5529"/>
          <w:tab w:val="left" w:pos="5954"/>
          <w:tab w:val="left" w:pos="6379"/>
          <w:tab w:val="left" w:pos="6663"/>
          <w:tab w:val="left" w:pos="7088"/>
          <w:tab w:val="left" w:pos="7513"/>
          <w:tab w:val="left" w:pos="7938"/>
        </w:tabs>
        <w:spacing w:line="480" w:lineRule="exact"/>
        <w:jc w:val="center"/>
        <w:rPr>
          <w:rFonts w:hint="eastAsia" w:eastAsia="新宋体"/>
          <w:b/>
          <w:bCs/>
          <w:sz w:val="30"/>
        </w:rPr>
      </w:pPr>
    </w:p>
    <w:p>
      <w:pPr>
        <w:keepNext w:val="0"/>
        <w:keepLines w:val="0"/>
        <w:pageBreakBefore/>
        <w:widowControl w:val="0"/>
        <w:tabs>
          <w:tab w:val="left" w:pos="851"/>
          <w:tab w:val="left" w:pos="1701"/>
          <w:tab w:val="left" w:pos="2127"/>
          <w:tab w:val="left" w:pos="2977"/>
          <w:tab w:val="left" w:pos="3261"/>
          <w:tab w:val="left" w:pos="3828"/>
          <w:tab w:val="left" w:pos="4536"/>
          <w:tab w:val="left" w:pos="5103"/>
          <w:tab w:val="left" w:pos="5529"/>
          <w:tab w:val="left" w:pos="5954"/>
          <w:tab w:val="left" w:pos="6379"/>
          <w:tab w:val="left" w:pos="6663"/>
          <w:tab w:val="left" w:pos="7088"/>
          <w:tab w:val="left" w:pos="7513"/>
          <w:tab w:val="left" w:pos="7938"/>
        </w:tabs>
        <w:kinsoku/>
        <w:wordWrap/>
        <w:overflowPunct/>
        <w:topLinePunct w:val="0"/>
        <w:autoSpaceDE/>
        <w:autoSpaceDN/>
        <w:bidi w:val="0"/>
        <w:adjustRightInd/>
        <w:snapToGrid/>
        <w:spacing w:line="480" w:lineRule="exact"/>
        <w:jc w:val="center"/>
        <w:textAlignment w:val="auto"/>
        <w:rPr>
          <w:rFonts w:eastAsia="新宋体"/>
          <w:b/>
          <w:bCs/>
          <w:sz w:val="30"/>
        </w:rPr>
      </w:pPr>
      <w:r>
        <w:rPr>
          <w:rFonts w:hint="eastAsia" w:eastAsia="新宋体"/>
          <w:b/>
          <w:bCs/>
          <w:sz w:val="30"/>
        </w:rPr>
        <w:t>区域位置示意图</w:t>
      </w:r>
    </w:p>
    <w:p>
      <w:pPr>
        <w:tabs>
          <w:tab w:val="left" w:pos="851"/>
          <w:tab w:val="left" w:pos="1701"/>
          <w:tab w:val="left" w:pos="2127"/>
          <w:tab w:val="left" w:pos="2977"/>
          <w:tab w:val="left" w:pos="3261"/>
          <w:tab w:val="left" w:pos="3828"/>
          <w:tab w:val="left" w:pos="4536"/>
          <w:tab w:val="left" w:pos="5103"/>
          <w:tab w:val="left" w:pos="5529"/>
          <w:tab w:val="left" w:pos="5954"/>
          <w:tab w:val="left" w:pos="6379"/>
          <w:tab w:val="left" w:pos="6663"/>
          <w:tab w:val="left" w:pos="7088"/>
          <w:tab w:val="left" w:pos="7513"/>
          <w:tab w:val="left" w:pos="7938"/>
        </w:tabs>
        <w:spacing w:line="480" w:lineRule="exact"/>
        <w:jc w:val="center"/>
        <w:rPr>
          <w:rFonts w:eastAsia="新宋体"/>
          <w:b/>
          <w:bCs/>
          <w:sz w:val="30"/>
        </w:rPr>
      </w:pPr>
    </w:p>
    <w:tbl>
      <w:tblPr>
        <w:tblStyle w:val="11"/>
        <w:tblW w:w="0" w:type="auto"/>
        <w:tblInd w:w="0" w:type="dxa"/>
        <w:tblLayout w:type="fixed"/>
        <w:tblCellMar>
          <w:top w:w="0" w:type="dxa"/>
          <w:left w:w="0" w:type="dxa"/>
          <w:bottom w:w="0" w:type="dxa"/>
          <w:right w:w="0" w:type="dxa"/>
        </w:tblCellMar>
      </w:tblPr>
      <w:tblGrid>
        <w:gridCol w:w="8820"/>
      </w:tblGrid>
      <w:tr>
        <w:tblPrEx>
          <w:tblCellMar>
            <w:top w:w="0" w:type="dxa"/>
            <w:left w:w="0" w:type="dxa"/>
            <w:bottom w:w="0" w:type="dxa"/>
            <w:right w:w="0" w:type="dxa"/>
          </w:tblCellMar>
        </w:tblPrEx>
        <w:trPr>
          <w:trHeight w:val="5795" w:hRule="atLeast"/>
        </w:trPr>
        <w:tc>
          <w:tcPr>
            <w:tcW w:w="882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sz w:val="24"/>
              </w:rPr>
            </w:pPr>
            <w:r>
              <w:rPr>
                <w:rFonts w:ascii="宋体" w:hAnsi="宋体"/>
                <w:sz w:val="20"/>
              </w:rPr>
              <mc:AlternateContent>
                <mc:Choice Requires="wps">
                  <w:drawing>
                    <wp:anchor distT="0" distB="0" distL="114300" distR="114300" simplePos="0" relativeHeight="251662336" behindDoc="0" locked="0" layoutInCell="1" allowOverlap="1">
                      <wp:simplePos x="0" y="0"/>
                      <wp:positionH relativeFrom="column">
                        <wp:posOffset>2640330</wp:posOffset>
                      </wp:positionH>
                      <wp:positionV relativeFrom="paragraph">
                        <wp:posOffset>577850</wp:posOffset>
                      </wp:positionV>
                      <wp:extent cx="1179830" cy="387350"/>
                      <wp:effectExtent l="217170" t="12700" r="12700" b="400050"/>
                      <wp:wrapNone/>
                      <wp:docPr id="27" name="椭圆形标注 27"/>
                      <wp:cNvGraphicFramePr/>
                      <a:graphic xmlns:a="http://schemas.openxmlformats.org/drawingml/2006/main">
                        <a:graphicData uri="http://schemas.microsoft.com/office/word/2010/wordprocessingShape">
                          <wps:wsp>
                            <wps:cNvSpPr/>
                            <wps:spPr>
                              <a:xfrm>
                                <a:off x="0" y="0"/>
                                <a:ext cx="1179830" cy="387350"/>
                              </a:xfrm>
                              <a:prstGeom prst="wedgeEllipseCallout">
                                <a:avLst>
                                  <a:gd name="adj1" fmla="val -61463"/>
                                  <a:gd name="adj2" fmla="val 134262"/>
                                </a:avLst>
                              </a:prstGeom>
                              <a:noFill/>
                              <a:ln w="25400" cap="flat" cmpd="sng">
                                <a:solidFill>
                                  <a:srgbClr val="000000"/>
                                </a:solidFill>
                                <a:prstDash val="solid"/>
                                <a:miter/>
                                <a:headEnd type="none" w="med" len="med"/>
                                <a:tailEnd type="none" w="med" len="med"/>
                              </a:ln>
                            </wps:spPr>
                            <wps:txbx>
                              <w:txbxContent>
                                <w:p>
                                  <w:pPr>
                                    <w:rPr>
                                      <w:b/>
                                      <w:bCs/>
                                      <w:sz w:val="24"/>
                                    </w:rPr>
                                  </w:pPr>
                                  <w:r>
                                    <w:rPr>
                                      <w:rFonts w:hint="eastAsia"/>
                                      <w:b/>
                                      <w:bCs/>
                                      <w:sz w:val="24"/>
                                    </w:rPr>
                                    <w:t>估价对象</w:t>
                                  </w:r>
                                </w:p>
                              </w:txbxContent>
                            </wps:txbx>
                            <wps:bodyPr upright="1"/>
                          </wps:wsp>
                        </a:graphicData>
                      </a:graphic>
                    </wp:anchor>
                  </w:drawing>
                </mc:Choice>
                <mc:Fallback>
                  <w:pict>
                    <v:shape id="_x0000_s1026" o:spid="_x0000_s1026" o:spt="63" type="#_x0000_t63" style="position:absolute;left:0pt;margin-left:207.9pt;margin-top:45.5pt;height:30.5pt;width:92.9pt;z-index:251662336;mso-width-relative:page;mso-height-relative:page;" filled="f" stroked="t" coordsize="21600,21600" o:gfxdata="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J0ttM2QAAAAoBAAAPAAAAAAAAAAEAIAAAACIAAABk&#10;cnMvZG93bnJldi54bWxQSwECFAAUAAAACACHTuJAEJmuzj4CAABuBAAADgAAAAAAAAABACAAAAAo&#10;AQAAZHJzL2Uyb0RvYy54bWxQSwUGAAAAAAYABgBZAQAA2AUAAAAA&#10;" adj="-2476,39801">
                      <v:fill on="f" focussize="0,0"/>
                      <v:stroke weight="2pt" color="#000000" joinstyle="miter"/>
                      <v:imagedata o:title=""/>
                      <o:lock v:ext="edit" aspectratio="f"/>
                      <v:textbox>
                        <w:txbxContent>
                          <w:p>
                            <w:pPr>
                              <w:rPr>
                                <w:b/>
                                <w:bCs/>
                                <w:sz w:val="24"/>
                              </w:rPr>
                            </w:pPr>
                            <w:r>
                              <w:rPr>
                                <w:rFonts w:hint="eastAsia"/>
                                <w:b/>
                                <w:bCs/>
                                <w:sz w:val="24"/>
                              </w:rPr>
                              <w:t>估价对象</w:t>
                            </w:r>
                          </w:p>
                        </w:txbxContent>
                      </v:textbox>
                    </v:shape>
                  </w:pict>
                </mc:Fallback>
              </mc:AlternateContent>
            </w:r>
            <w:r>
              <w:drawing>
                <wp:inline distT="0" distB="0" distL="114300" distR="114300">
                  <wp:extent cx="5577205" cy="3644265"/>
                  <wp:effectExtent l="0" t="0" r="4445" b="133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5577205" cy="3644265"/>
                          </a:xfrm>
                          <a:prstGeom prst="rect">
                            <a:avLst/>
                          </a:prstGeom>
                          <a:noFill/>
                          <a:ln>
                            <a:noFill/>
                          </a:ln>
                        </pic:spPr>
                      </pic:pic>
                    </a:graphicData>
                  </a:graphic>
                </wp:inline>
              </w:drawing>
            </w:r>
          </w:p>
        </w:tc>
      </w:tr>
      <w:tr>
        <w:tblPrEx>
          <w:tblCellMar>
            <w:top w:w="0" w:type="dxa"/>
            <w:left w:w="0" w:type="dxa"/>
            <w:bottom w:w="0" w:type="dxa"/>
            <w:right w:w="0" w:type="dxa"/>
          </w:tblCellMar>
        </w:tblPrEx>
        <w:trPr>
          <w:trHeight w:val="6052" w:hRule="atLeast"/>
        </w:trPr>
        <w:tc>
          <w:tcPr>
            <w:tcW w:w="8820"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pPr>
            <w:r>
              <w:rPr>
                <w:rFonts w:ascii="宋体" w:hAnsi="宋体"/>
                <w:sz w:val="20"/>
              </w:rPr>
              <mc:AlternateContent>
                <mc:Choice Requires="wps">
                  <w:drawing>
                    <wp:anchor distT="0" distB="0" distL="114300" distR="114300" simplePos="0" relativeHeight="251663360" behindDoc="0" locked="0" layoutInCell="1" allowOverlap="1">
                      <wp:simplePos x="0" y="0"/>
                      <wp:positionH relativeFrom="column">
                        <wp:posOffset>2888615</wp:posOffset>
                      </wp:positionH>
                      <wp:positionV relativeFrom="paragraph">
                        <wp:posOffset>724535</wp:posOffset>
                      </wp:positionV>
                      <wp:extent cx="1160145" cy="454660"/>
                      <wp:effectExtent l="238760" t="12700" r="29845" b="485140"/>
                      <wp:wrapNone/>
                      <wp:docPr id="28" name="椭圆形标注 28"/>
                      <wp:cNvGraphicFramePr/>
                      <a:graphic xmlns:a="http://schemas.openxmlformats.org/drawingml/2006/main">
                        <a:graphicData uri="http://schemas.microsoft.com/office/word/2010/wordprocessingShape">
                          <wps:wsp>
                            <wps:cNvSpPr/>
                            <wps:spPr>
                              <a:xfrm>
                                <a:off x="0" y="0"/>
                                <a:ext cx="1160145" cy="454660"/>
                              </a:xfrm>
                              <a:prstGeom prst="wedgeEllipseCallout">
                                <a:avLst>
                                  <a:gd name="adj1" fmla="val -63957"/>
                                  <a:gd name="adj2" fmla="val 138966"/>
                                </a:avLst>
                              </a:prstGeom>
                              <a:noFill/>
                              <a:ln w="25400" cap="flat" cmpd="sng">
                                <a:solidFill>
                                  <a:srgbClr val="FFFF00"/>
                                </a:solidFill>
                                <a:prstDash val="solid"/>
                                <a:miter/>
                                <a:headEnd type="none" w="med" len="med"/>
                                <a:tailEnd type="none" w="med" len="med"/>
                              </a:ln>
                            </wps:spPr>
                            <wps:txbx>
                              <w:txbxContent>
                                <w:p>
                                  <w:pPr>
                                    <w:rPr>
                                      <w:b/>
                                      <w:bCs/>
                                      <w:color w:val="FFFF00"/>
                                      <w:sz w:val="24"/>
                                    </w:rPr>
                                  </w:pPr>
                                  <w:r>
                                    <w:rPr>
                                      <w:rFonts w:hint="eastAsia"/>
                                      <w:b/>
                                      <w:bCs/>
                                      <w:color w:val="FFFF00"/>
                                      <w:sz w:val="24"/>
                                    </w:rPr>
                                    <w:t>估价对象</w:t>
                                  </w:r>
                                </w:p>
                              </w:txbxContent>
                            </wps:txbx>
                            <wps:bodyPr upright="1"/>
                          </wps:wsp>
                        </a:graphicData>
                      </a:graphic>
                    </wp:anchor>
                  </w:drawing>
                </mc:Choice>
                <mc:Fallback>
                  <w:pict>
                    <v:shape id="_x0000_s1026" o:spid="_x0000_s1026" o:spt="63" type="#_x0000_t63" style="position:absolute;left:0pt;margin-left:227.45pt;margin-top:57.05pt;height:35.8pt;width:91.35pt;z-index:251663360;mso-width-relative:page;mso-height-relative:page;" filled="f" stroked="t" coordsize="21600,21600" o:gfxdata="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PojINLbAAAACwEAAA8AAAAAAAAAAQAgAAAA&#10;IgAAAGRycy9kb3ducmV2LnhtbFBLAQIUABQAAAAIAIdO4kBv2mhbQQIAAG4EAAAOAAAAAAAAAAEA&#10;IAAAACoBAABkcnMvZTJvRG9jLnhtbFBLBQYAAAAABgAGAFkBAADdBQAAAAA=&#10;" adj="-3015,40817">
                      <v:fill on="f" focussize="0,0"/>
                      <v:stroke weight="2pt" color="#FFFF00" joinstyle="miter"/>
                      <v:imagedata o:title=""/>
                      <o:lock v:ext="edit" aspectratio="f"/>
                      <v:textbox>
                        <w:txbxContent>
                          <w:p>
                            <w:pPr>
                              <w:rPr>
                                <w:b/>
                                <w:bCs/>
                                <w:color w:val="FFFF00"/>
                                <w:sz w:val="24"/>
                              </w:rPr>
                            </w:pPr>
                            <w:r>
                              <w:rPr>
                                <w:rFonts w:hint="eastAsia"/>
                                <w:b/>
                                <w:bCs/>
                                <w:color w:val="FFFF00"/>
                                <w:sz w:val="24"/>
                              </w:rPr>
                              <w:t>估价对象</w:t>
                            </w:r>
                          </w:p>
                        </w:txbxContent>
                      </v:textbox>
                    </v:shape>
                  </w:pict>
                </mc:Fallback>
              </mc:AlternateContent>
            </w:r>
            <w:r>
              <w:drawing>
                <wp:inline distT="0" distB="0" distL="114300" distR="114300">
                  <wp:extent cx="5579110" cy="3830320"/>
                  <wp:effectExtent l="0" t="0" r="2540" b="1778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8"/>
                          <a:stretch>
                            <a:fillRect/>
                          </a:stretch>
                        </pic:blipFill>
                        <pic:spPr>
                          <a:xfrm>
                            <a:off x="0" y="0"/>
                            <a:ext cx="5579110" cy="3830320"/>
                          </a:xfrm>
                          <a:prstGeom prst="rect">
                            <a:avLst/>
                          </a:prstGeom>
                          <a:noFill/>
                          <a:ln>
                            <a:noFill/>
                          </a:ln>
                        </pic:spPr>
                      </pic:pic>
                    </a:graphicData>
                  </a:graphic>
                </wp:inline>
              </w:drawing>
            </w:r>
          </w:p>
        </w:tc>
      </w:tr>
    </w:tbl>
    <w:p>
      <w:pPr>
        <w:jc w:val="center"/>
        <w:rPr>
          <w:rFonts w:hint="eastAsia" w:asciiTheme="minorEastAsia" w:hAnsiTheme="minorEastAsia" w:cstheme="minorEastAsia"/>
          <w:color w:val="auto"/>
          <w:sz w:val="40"/>
          <w:szCs w:val="48"/>
          <w:highlight w:val="none"/>
          <w:lang w:val="en-US" w:eastAsia="zh-CN"/>
        </w:rPr>
      </w:pPr>
    </w:p>
    <w:p>
      <w:pPr>
        <w:jc w:val="center"/>
        <w:rPr>
          <w:rFonts w:hint="eastAsia" w:asciiTheme="minorEastAsia" w:hAnsiTheme="minorEastAsia" w:cstheme="minorEastAsia"/>
          <w:b/>
          <w:bCs/>
          <w:color w:val="auto"/>
          <w:sz w:val="32"/>
          <w:szCs w:val="32"/>
          <w:highlight w:val="none"/>
          <w:lang w:val="en-US" w:eastAsia="zh-CN"/>
        </w:rPr>
      </w:pPr>
      <w:r>
        <w:rPr>
          <w:rFonts w:hint="eastAsia" w:asciiTheme="minorEastAsia" w:hAnsiTheme="minorEastAsia" w:cstheme="minorEastAsia"/>
          <w:b/>
          <w:bCs/>
          <w:color w:val="auto"/>
          <w:sz w:val="32"/>
          <w:szCs w:val="32"/>
          <w:highlight w:val="none"/>
          <w:lang w:val="en-US" w:eastAsia="zh-CN"/>
        </w:rPr>
        <w:t>现状利用照片</w:t>
      </w:r>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2" w:hRule="atLeast"/>
        </w:trPr>
        <w:tc>
          <w:tcPr>
            <w:tcW w:w="2500" w:type="pct"/>
          </w:tcPr>
          <w:p>
            <w:pPr>
              <w:spacing w:line="240" w:lineRule="auto"/>
              <w:jc w:val="both"/>
              <w:rPr>
                <w:rFonts w:hint="default" w:ascii="仿宋_GB2312" w:hAnsi="仿宋" w:eastAsia="仿宋_GB2312"/>
                <w:color w:val="auto"/>
                <w:sz w:val="24"/>
                <w:szCs w:val="24"/>
                <w:highlight w:val="none"/>
                <w:vertAlign w:val="baseline"/>
                <w:lang w:val="en-US" w:eastAsia="zh-CN"/>
              </w:rPr>
            </w:pPr>
            <w:r>
              <w:rPr>
                <w:rFonts w:hint="default" w:ascii="仿宋_GB2312" w:hAnsi="仿宋" w:eastAsia="仿宋_GB2312"/>
                <w:color w:val="auto"/>
                <w:sz w:val="24"/>
                <w:szCs w:val="24"/>
                <w:highlight w:val="none"/>
                <w:vertAlign w:val="baseline"/>
                <w:lang w:val="en-US" w:eastAsia="zh-CN"/>
              </w:rPr>
              <w:drawing>
                <wp:inline distT="0" distB="0" distL="114300" distR="114300">
                  <wp:extent cx="2560320" cy="1920240"/>
                  <wp:effectExtent l="0" t="0" r="11430" b="3810"/>
                  <wp:docPr id="8" name="图片 8" descr="IMG_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1464"/>
                          <pic:cNvPicPr>
                            <a:picLocks noChangeAspect="1"/>
                          </pic:cNvPicPr>
                        </pic:nvPicPr>
                        <pic:blipFill>
                          <a:blip r:embed="rId9"/>
                          <a:stretch>
                            <a:fillRect/>
                          </a:stretch>
                        </pic:blipFill>
                        <pic:spPr>
                          <a:xfrm>
                            <a:off x="0" y="0"/>
                            <a:ext cx="2560320" cy="1920240"/>
                          </a:xfrm>
                          <a:prstGeom prst="rect">
                            <a:avLst/>
                          </a:prstGeom>
                        </pic:spPr>
                      </pic:pic>
                    </a:graphicData>
                  </a:graphic>
                </wp:inline>
              </w:drawing>
            </w:r>
          </w:p>
        </w:tc>
        <w:tc>
          <w:tcPr>
            <w:tcW w:w="2500" w:type="pct"/>
          </w:tcPr>
          <w:p>
            <w:pPr>
              <w:spacing w:line="240" w:lineRule="auto"/>
              <w:jc w:val="both"/>
              <w:rPr>
                <w:rFonts w:hint="default" w:ascii="仿宋_GB2312" w:hAnsi="仿宋" w:eastAsia="仿宋_GB2312"/>
                <w:color w:val="auto"/>
                <w:sz w:val="24"/>
                <w:szCs w:val="24"/>
                <w:highlight w:val="none"/>
                <w:vertAlign w:val="baseline"/>
                <w:lang w:val="en-US" w:eastAsia="zh-CN"/>
              </w:rPr>
            </w:pPr>
            <w:r>
              <w:rPr>
                <w:rFonts w:hint="default" w:ascii="仿宋_GB2312" w:hAnsi="仿宋" w:eastAsia="仿宋_GB2312"/>
                <w:color w:val="auto"/>
                <w:sz w:val="24"/>
                <w:szCs w:val="24"/>
                <w:highlight w:val="none"/>
                <w:vertAlign w:val="baseline"/>
                <w:lang w:val="en-US" w:eastAsia="zh-CN"/>
              </w:rPr>
              <w:drawing>
                <wp:inline distT="0" distB="0" distL="114300" distR="114300">
                  <wp:extent cx="2560320" cy="1920240"/>
                  <wp:effectExtent l="0" t="0" r="11430" b="3810"/>
                  <wp:docPr id="9" name="图片 9" descr="IMG_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1466"/>
                          <pic:cNvPicPr>
                            <a:picLocks noChangeAspect="1"/>
                          </pic:cNvPicPr>
                        </pic:nvPicPr>
                        <pic:blipFill>
                          <a:blip r:embed="rId10"/>
                          <a:stretch>
                            <a:fillRect/>
                          </a:stretch>
                        </pic:blipFill>
                        <pic:spPr>
                          <a:xfrm>
                            <a:off x="0" y="0"/>
                            <a:ext cx="2560320" cy="19202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7" w:hRule="atLeast"/>
        </w:trPr>
        <w:tc>
          <w:tcPr>
            <w:tcW w:w="2500" w:type="pct"/>
          </w:tcPr>
          <w:p>
            <w:pPr>
              <w:spacing w:line="240" w:lineRule="auto"/>
              <w:jc w:val="both"/>
              <w:rPr>
                <w:rFonts w:hint="default" w:ascii="仿宋_GB2312" w:hAnsi="仿宋" w:eastAsia="仿宋_GB2312"/>
                <w:b/>
                <w:bCs/>
                <w:color w:val="auto"/>
                <w:sz w:val="24"/>
                <w:szCs w:val="24"/>
                <w:highlight w:val="none"/>
                <w:vertAlign w:val="baseline"/>
                <w:lang w:val="en-US" w:eastAsia="zh-CN"/>
              </w:rPr>
            </w:pPr>
            <w:r>
              <w:rPr>
                <w:rFonts w:hint="default" w:ascii="仿宋_GB2312" w:hAnsi="仿宋" w:eastAsia="仿宋_GB2312"/>
                <w:b/>
                <w:bCs/>
                <w:color w:val="auto"/>
                <w:sz w:val="24"/>
                <w:szCs w:val="24"/>
                <w:highlight w:val="none"/>
                <w:vertAlign w:val="baseline"/>
                <w:lang w:val="en-US" w:eastAsia="zh-CN"/>
              </w:rPr>
              <w:drawing>
                <wp:inline distT="0" distB="0" distL="114300" distR="114300">
                  <wp:extent cx="2560320" cy="1920240"/>
                  <wp:effectExtent l="0" t="0" r="11430" b="3810"/>
                  <wp:docPr id="10" name="图片 10" descr="IMG_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1465"/>
                          <pic:cNvPicPr>
                            <a:picLocks noChangeAspect="1"/>
                          </pic:cNvPicPr>
                        </pic:nvPicPr>
                        <pic:blipFill>
                          <a:blip r:embed="rId11"/>
                          <a:stretch>
                            <a:fillRect/>
                          </a:stretch>
                        </pic:blipFill>
                        <pic:spPr>
                          <a:xfrm>
                            <a:off x="0" y="0"/>
                            <a:ext cx="2560320" cy="1920240"/>
                          </a:xfrm>
                          <a:prstGeom prst="rect">
                            <a:avLst/>
                          </a:prstGeom>
                        </pic:spPr>
                      </pic:pic>
                    </a:graphicData>
                  </a:graphic>
                </wp:inline>
              </w:drawing>
            </w:r>
          </w:p>
        </w:tc>
        <w:tc>
          <w:tcPr>
            <w:tcW w:w="2500" w:type="pct"/>
          </w:tcPr>
          <w:p>
            <w:pPr>
              <w:spacing w:line="240" w:lineRule="auto"/>
              <w:jc w:val="both"/>
              <w:rPr>
                <w:rFonts w:hint="default" w:ascii="仿宋_GB2312" w:hAnsi="仿宋" w:eastAsia="仿宋_GB2312"/>
                <w:b/>
                <w:bCs/>
                <w:color w:val="auto"/>
                <w:sz w:val="24"/>
                <w:szCs w:val="24"/>
                <w:highlight w:val="none"/>
                <w:vertAlign w:val="baseline"/>
                <w:lang w:val="en-US" w:eastAsia="zh-CN"/>
              </w:rPr>
            </w:pPr>
            <w:r>
              <w:rPr>
                <w:rFonts w:hint="default" w:ascii="仿宋_GB2312" w:hAnsi="仿宋" w:eastAsia="仿宋_GB2312"/>
                <w:b/>
                <w:bCs/>
                <w:color w:val="auto"/>
                <w:sz w:val="24"/>
                <w:szCs w:val="24"/>
                <w:highlight w:val="none"/>
                <w:vertAlign w:val="baseline"/>
                <w:lang w:val="en-US" w:eastAsia="zh-CN"/>
              </w:rPr>
              <w:drawing>
                <wp:inline distT="0" distB="0" distL="114300" distR="114300">
                  <wp:extent cx="2560320" cy="1920240"/>
                  <wp:effectExtent l="0" t="0" r="11430" b="3810"/>
                  <wp:docPr id="11" name="图片 11" descr="IMG_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1468"/>
                          <pic:cNvPicPr>
                            <a:picLocks noChangeAspect="1"/>
                          </pic:cNvPicPr>
                        </pic:nvPicPr>
                        <pic:blipFill>
                          <a:blip r:embed="rId12"/>
                          <a:stretch>
                            <a:fillRect/>
                          </a:stretch>
                        </pic:blipFill>
                        <pic:spPr>
                          <a:xfrm>
                            <a:off x="0" y="0"/>
                            <a:ext cx="2560320" cy="19202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5" w:hRule="atLeast"/>
        </w:trPr>
        <w:tc>
          <w:tcPr>
            <w:tcW w:w="2500" w:type="pct"/>
          </w:tcPr>
          <w:p>
            <w:pPr>
              <w:spacing w:line="240" w:lineRule="auto"/>
              <w:jc w:val="both"/>
              <w:rPr>
                <w:rFonts w:hint="default" w:ascii="仿宋_GB2312" w:hAnsi="仿宋" w:eastAsia="仿宋_GB2312"/>
                <w:b/>
                <w:bCs/>
                <w:color w:val="auto"/>
                <w:sz w:val="24"/>
                <w:szCs w:val="24"/>
                <w:highlight w:val="none"/>
                <w:vertAlign w:val="baseline"/>
                <w:lang w:val="en-US" w:eastAsia="zh-CN"/>
              </w:rPr>
            </w:pPr>
            <w:r>
              <w:rPr>
                <w:rFonts w:hint="default" w:ascii="仿宋_GB2312" w:hAnsi="仿宋" w:eastAsia="仿宋_GB2312"/>
                <w:b/>
                <w:bCs/>
                <w:color w:val="auto"/>
                <w:sz w:val="24"/>
                <w:szCs w:val="24"/>
                <w:highlight w:val="none"/>
                <w:vertAlign w:val="baseline"/>
                <w:lang w:val="en-US" w:eastAsia="zh-CN"/>
              </w:rPr>
              <w:drawing>
                <wp:inline distT="0" distB="0" distL="114300" distR="114300">
                  <wp:extent cx="2560320" cy="1920240"/>
                  <wp:effectExtent l="0" t="0" r="11430" b="3810"/>
                  <wp:docPr id="12" name="图片 12" descr="IMG_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1467"/>
                          <pic:cNvPicPr>
                            <a:picLocks noChangeAspect="1"/>
                          </pic:cNvPicPr>
                        </pic:nvPicPr>
                        <pic:blipFill>
                          <a:blip r:embed="rId13"/>
                          <a:stretch>
                            <a:fillRect/>
                          </a:stretch>
                        </pic:blipFill>
                        <pic:spPr>
                          <a:xfrm>
                            <a:off x="0" y="0"/>
                            <a:ext cx="2560320" cy="1920240"/>
                          </a:xfrm>
                          <a:prstGeom prst="rect">
                            <a:avLst/>
                          </a:prstGeom>
                        </pic:spPr>
                      </pic:pic>
                    </a:graphicData>
                  </a:graphic>
                </wp:inline>
              </w:drawing>
            </w:r>
          </w:p>
        </w:tc>
        <w:tc>
          <w:tcPr>
            <w:tcW w:w="2500" w:type="pct"/>
          </w:tcPr>
          <w:p>
            <w:pPr>
              <w:spacing w:line="240" w:lineRule="auto"/>
              <w:jc w:val="both"/>
              <w:rPr>
                <w:rFonts w:hint="default" w:ascii="仿宋_GB2312" w:hAnsi="仿宋" w:eastAsia="仿宋_GB2312"/>
                <w:b/>
                <w:bCs/>
                <w:color w:val="auto"/>
                <w:sz w:val="24"/>
                <w:szCs w:val="24"/>
                <w:highlight w:val="none"/>
                <w:vertAlign w:val="baseline"/>
                <w:lang w:val="en-US" w:eastAsia="zh-CN"/>
              </w:rPr>
            </w:pPr>
            <w:r>
              <w:rPr>
                <w:rFonts w:hint="default" w:ascii="仿宋_GB2312" w:hAnsi="仿宋" w:eastAsia="仿宋_GB2312"/>
                <w:b/>
                <w:bCs/>
                <w:color w:val="auto"/>
                <w:sz w:val="24"/>
                <w:szCs w:val="24"/>
                <w:highlight w:val="none"/>
                <w:vertAlign w:val="baseline"/>
                <w:lang w:val="en-US" w:eastAsia="zh-CN"/>
              </w:rPr>
              <w:drawing>
                <wp:inline distT="0" distB="0" distL="114300" distR="114300">
                  <wp:extent cx="2560320" cy="1920240"/>
                  <wp:effectExtent l="0" t="0" r="11430" b="3810"/>
                  <wp:docPr id="14" name="图片 14" descr="IMG_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1469"/>
                          <pic:cNvPicPr>
                            <a:picLocks noChangeAspect="1"/>
                          </pic:cNvPicPr>
                        </pic:nvPicPr>
                        <pic:blipFill>
                          <a:blip r:embed="rId14"/>
                          <a:stretch>
                            <a:fillRect/>
                          </a:stretch>
                        </pic:blipFill>
                        <pic:spPr>
                          <a:xfrm>
                            <a:off x="0" y="0"/>
                            <a:ext cx="2560320" cy="19202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2" w:hRule="atLeast"/>
        </w:trPr>
        <w:tc>
          <w:tcPr>
            <w:tcW w:w="2500" w:type="pct"/>
          </w:tcPr>
          <w:p>
            <w:pPr>
              <w:spacing w:line="240" w:lineRule="auto"/>
              <w:jc w:val="center"/>
              <w:rPr>
                <w:rFonts w:hint="default" w:ascii="仿宋_GB2312" w:hAnsi="仿宋" w:eastAsia="仿宋_GB2312"/>
                <w:b/>
                <w:bCs/>
                <w:color w:val="auto"/>
                <w:sz w:val="24"/>
                <w:szCs w:val="24"/>
                <w:highlight w:val="none"/>
                <w:vertAlign w:val="baseline"/>
                <w:lang w:val="en-US" w:eastAsia="zh-CN"/>
              </w:rPr>
            </w:pPr>
            <w:r>
              <w:rPr>
                <w:rFonts w:hint="default" w:ascii="仿宋_GB2312" w:hAnsi="仿宋" w:eastAsia="仿宋_GB2312"/>
                <w:b/>
                <w:bCs/>
                <w:color w:val="auto"/>
                <w:sz w:val="24"/>
                <w:szCs w:val="24"/>
                <w:highlight w:val="none"/>
                <w:vertAlign w:val="baseline"/>
                <w:lang w:val="en-US" w:eastAsia="zh-CN"/>
              </w:rPr>
              <w:drawing>
                <wp:inline distT="0" distB="0" distL="114300" distR="114300">
                  <wp:extent cx="2560320" cy="1920240"/>
                  <wp:effectExtent l="0" t="0" r="11430" b="3810"/>
                  <wp:docPr id="15" name="图片 15" descr="IMG_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1470"/>
                          <pic:cNvPicPr>
                            <a:picLocks noChangeAspect="1"/>
                          </pic:cNvPicPr>
                        </pic:nvPicPr>
                        <pic:blipFill>
                          <a:blip r:embed="rId15"/>
                          <a:stretch>
                            <a:fillRect/>
                          </a:stretch>
                        </pic:blipFill>
                        <pic:spPr>
                          <a:xfrm>
                            <a:off x="0" y="0"/>
                            <a:ext cx="2560320" cy="1920240"/>
                          </a:xfrm>
                          <a:prstGeom prst="rect">
                            <a:avLst/>
                          </a:prstGeom>
                        </pic:spPr>
                      </pic:pic>
                    </a:graphicData>
                  </a:graphic>
                </wp:inline>
              </w:drawing>
            </w:r>
          </w:p>
        </w:tc>
        <w:tc>
          <w:tcPr>
            <w:tcW w:w="2500" w:type="pct"/>
          </w:tcPr>
          <w:p>
            <w:pPr>
              <w:spacing w:line="240" w:lineRule="auto"/>
              <w:jc w:val="center"/>
              <w:rPr>
                <w:rFonts w:hint="default" w:ascii="仿宋_GB2312" w:hAnsi="仿宋" w:eastAsia="仿宋_GB2312"/>
                <w:b/>
                <w:bCs/>
                <w:color w:val="auto"/>
                <w:sz w:val="24"/>
                <w:szCs w:val="24"/>
                <w:highlight w:val="none"/>
                <w:vertAlign w:val="baseline"/>
                <w:lang w:val="en-US" w:eastAsia="zh-CN"/>
              </w:rPr>
            </w:pPr>
            <w:r>
              <w:rPr>
                <w:rFonts w:hint="default" w:ascii="仿宋_GB2312" w:hAnsi="仿宋" w:eastAsia="仿宋_GB2312"/>
                <w:b/>
                <w:bCs/>
                <w:color w:val="auto"/>
                <w:sz w:val="24"/>
                <w:szCs w:val="24"/>
                <w:highlight w:val="none"/>
                <w:vertAlign w:val="baseline"/>
                <w:lang w:val="en-US" w:eastAsia="zh-CN"/>
              </w:rPr>
              <w:drawing>
                <wp:inline distT="0" distB="0" distL="114300" distR="114300">
                  <wp:extent cx="2560320" cy="1920240"/>
                  <wp:effectExtent l="0" t="0" r="11430" b="3810"/>
                  <wp:docPr id="16" name="图片 16" descr="IMG_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1472"/>
                          <pic:cNvPicPr>
                            <a:picLocks noChangeAspect="1"/>
                          </pic:cNvPicPr>
                        </pic:nvPicPr>
                        <pic:blipFill>
                          <a:blip r:embed="rId16"/>
                          <a:stretch>
                            <a:fillRect/>
                          </a:stretch>
                        </pic:blipFill>
                        <pic:spPr>
                          <a:xfrm>
                            <a:off x="0" y="0"/>
                            <a:ext cx="2560320" cy="1920240"/>
                          </a:xfrm>
                          <a:prstGeom prst="rect">
                            <a:avLst/>
                          </a:prstGeom>
                        </pic:spPr>
                      </pic:pic>
                    </a:graphicData>
                  </a:graphic>
                </wp:inline>
              </w:drawing>
            </w:r>
          </w:p>
        </w:tc>
      </w:tr>
    </w:tbl>
    <w:p>
      <w:pPr>
        <w:spacing w:line="240" w:lineRule="auto"/>
        <w:jc w:val="both"/>
        <w:rPr>
          <w:rFonts w:hint="default" w:ascii="仿宋_GB2312" w:hAnsi="仿宋" w:eastAsia="仿宋_GB2312"/>
          <w:color w:val="auto"/>
          <w:sz w:val="24"/>
          <w:szCs w:val="24"/>
          <w:highlight w:val="none"/>
          <w:lang w:val="en-US" w:eastAsia="zh-CN"/>
        </w:rPr>
      </w:pPr>
    </w:p>
    <w:sectPr>
      <w:headerReference r:id="rId3" w:type="default"/>
      <w:footerReference r:id="rId4"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新宋体">
    <w:panose1 w:val="02010609030101010101"/>
    <w:charset w:val="86"/>
    <w:family w:val="modern"/>
    <w:pitch w:val="default"/>
    <w:sig w:usb0="00000283" w:usb1="288F0000" w:usb2="00000006" w:usb3="00000000" w:csb0="00040001" w:csb1="00000000"/>
  </w:font>
  <w:font w:name="幼圆">
    <w:panose1 w:val="0201050906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utoSpaceDE w:val="0"/>
      <w:autoSpaceDN w:val="0"/>
      <w:adjustRightInd w:val="0"/>
      <w:spacing w:line="240" w:lineRule="atLeast"/>
      <w:ind w:left="1080" w:right="360" w:hanging="1080" w:hangingChars="600"/>
      <w:jc w:val="left"/>
      <w:rPr>
        <w:rStyle w:val="15"/>
        <w:rFonts w:hint="default" w:eastAsia="新宋体"/>
        <w:b/>
        <w:sz w:val="18"/>
        <w:szCs w:val="18"/>
        <w:lang w:val="en-US" w:eastAsia="zh-CN"/>
      </w:rPr>
    </w:pPr>
    <w:r>
      <w:rPr>
        <w:rFonts w:hint="eastAsia" w:ascii="新宋体" w:hAnsi="新宋体" w:eastAsia="新宋体" w:cs="黑体"/>
        <w:color w:val="000000"/>
        <w:kern w:val="0"/>
        <w:sz w:val="18"/>
        <w:szCs w:val="18"/>
      </w:rPr>
      <mc:AlternateContent>
        <mc:Choice Requires="wps">
          <w:drawing>
            <wp:anchor distT="0" distB="0" distL="114300" distR="114300" simplePos="0" relativeHeight="251659264" behindDoc="0" locked="0" layoutInCell="1" allowOverlap="1">
              <wp:simplePos x="0" y="0"/>
              <wp:positionH relativeFrom="column">
                <wp:posOffset>-1270</wp:posOffset>
              </wp:positionH>
              <wp:positionV relativeFrom="paragraph">
                <wp:posOffset>-15240</wp:posOffset>
              </wp:positionV>
              <wp:extent cx="5791200" cy="0"/>
              <wp:effectExtent l="38100" t="38100" r="38100" b="38100"/>
              <wp:wrapNone/>
              <wp:docPr id="3" name="直接连接符 3"/>
              <wp:cNvGraphicFramePr/>
              <a:graphic xmlns:a="http://schemas.openxmlformats.org/drawingml/2006/main">
                <a:graphicData uri="http://schemas.microsoft.com/office/word/2010/wordprocessingShape">
                  <wps:wsp>
                    <wps:cNvCnPr/>
                    <wps:spPr>
                      <a:xfrm>
                        <a:off x="0" y="0"/>
                        <a:ext cx="5791200" cy="0"/>
                      </a:xfrm>
                      <a:prstGeom prst="line">
                        <a:avLst/>
                      </a:prstGeom>
                      <a:ln w="12700" cap="flat" cmpd="sng">
                        <a:solidFill>
                          <a:srgbClr val="000000"/>
                        </a:solidFill>
                        <a:prstDash val="solid"/>
                        <a:headEnd type="diamond" w="med" len="med"/>
                        <a:tailEnd type="diamond" w="med" len="med"/>
                      </a:ln>
                      <a:effectLst/>
                    </wps:spPr>
                    <wps:bodyPr upright="1"/>
                  </wps:wsp>
                </a:graphicData>
              </a:graphic>
            </wp:anchor>
          </w:drawing>
        </mc:Choice>
        <mc:Fallback>
          <w:pict>
            <v:line id="_x0000_s1026" o:spid="_x0000_s1026" o:spt="20" style="position:absolute;left:0pt;margin-left:-0.1pt;margin-top:-1.2pt;height:0pt;width:456pt;z-index:251659264;mso-width-relative:page;mso-height-relative:page;" filled="f" stroked="t" coordsize="21600,21600" o:gfxdata="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rsvWO9cAAAAHAQAADwAAAAAAAAABACAAAAAiAAAAZHJzL2Rvd25yZXYueG1s&#10;UEsBAhQAFAAAAAgAh07iQD8arB/5AQAA+QMAAA4AAAAAAAAAAQAgAAAAJgEAAGRycy9lMm9Eb2Mu&#10;eG1sUEsFBgAAAAAGAAYAWQEAAJEFAAAAAA==&#10;">
              <v:fill on="f" focussize="0,0"/>
              <v:stroke weight="1pt" color="#000000" joinstyle="round" startarrow="diamond" endarrow="diamond"/>
              <v:imagedata o:title=""/>
              <o:lock v:ext="edit" aspectratio="f"/>
            </v:line>
          </w:pict>
        </mc:Fallback>
      </mc:AlternateContent>
    </w:r>
    <w:r>
      <w:rPr>
        <w:rFonts w:hint="eastAsia" w:ascii="新宋体" w:hAnsi="新宋体" w:eastAsia="新宋体" w:cs="黑体"/>
        <w:color w:val="000000"/>
        <w:kern w:val="0"/>
        <w:sz w:val="18"/>
        <w:szCs w:val="18"/>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5791200" cy="0"/>
              <wp:effectExtent l="38100" t="38100" r="38100" b="38100"/>
              <wp:wrapNone/>
              <wp:docPr id="5" name="直接连接符 5"/>
              <wp:cNvGraphicFramePr/>
              <a:graphic xmlns:a="http://schemas.openxmlformats.org/drawingml/2006/main">
                <a:graphicData uri="http://schemas.microsoft.com/office/word/2010/wordprocessingShape">
                  <wps:wsp>
                    <wps:cNvCnPr/>
                    <wps:spPr>
                      <a:xfrm>
                        <a:off x="0" y="0"/>
                        <a:ext cx="5791200" cy="0"/>
                      </a:xfrm>
                      <a:prstGeom prst="line">
                        <a:avLst/>
                      </a:prstGeom>
                      <a:ln w="12700" cap="flat" cmpd="sng">
                        <a:solidFill>
                          <a:srgbClr val="000000"/>
                        </a:solidFill>
                        <a:prstDash val="solid"/>
                        <a:headEnd type="diamond" w="med" len="med"/>
                        <a:tailEnd type="diamond" w="med" len="med"/>
                      </a:ln>
                      <a:effectLst/>
                    </wps:spPr>
                    <wps:bodyPr upright="1"/>
                  </wps:wsp>
                </a:graphicData>
              </a:graphic>
            </wp:anchor>
          </w:drawing>
        </mc:Choice>
        <mc:Fallback>
          <w:pict>
            <v:line id="_x0000_s1026" o:spid="_x0000_s1026" o:spt="20" style="position:absolute;left:0pt;margin-left:0pt;margin-top:0pt;height:0pt;width:456pt;z-index:251660288;mso-width-relative:page;mso-height-relative:page;" filled="f" stroked="t" coordsize="21600,21600" o:gfxdata="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9S51nSAAAAAgEAAA8AAAAAAAAAAQAgAAAAIgAAAGRycy9kb3ducmV2LnhtbFBLAQIU&#10;ABQAAAAIAIdO4kBSYXQE+QEAAPkDAAAOAAAAAAAAAAEAIAAAACEBAABkcnMvZTJvRG9jLnhtbFBL&#10;BQYAAAAABgAGAFkBAACMBQAAAAA=&#10;">
              <v:fill on="f" focussize="0,0"/>
              <v:stroke weight="1pt" color="#000000" joinstyle="round" startarrow="diamond" endarrow="diamond"/>
              <v:imagedata o:title=""/>
              <o:lock v:ext="edit" aspectratio="f"/>
            </v:line>
          </w:pict>
        </mc:Fallback>
      </mc:AlternateContent>
    </w:r>
    <w:r>
      <w:rPr>
        <w:rFonts w:hint="eastAsia" w:ascii="宋体" w:hAnsi="宋体"/>
        <w:bCs/>
        <w:spacing w:val="-4"/>
      </w:rPr>
      <w:t xml:space="preserve"> </w:t>
    </w:r>
    <w:r>
      <w:rPr>
        <w:rFonts w:hint="eastAsia" w:ascii="新宋体" w:hAnsi="新宋体" w:eastAsia="新宋体" w:cs="黑体"/>
        <w:color w:val="000000"/>
        <w:kern w:val="0"/>
        <w:sz w:val="18"/>
        <w:szCs w:val="18"/>
      </w:rPr>
      <w:t>办公地址：</w:t>
    </w:r>
    <w:r>
      <w:rPr>
        <w:rFonts w:hint="eastAsia" w:ascii="新宋体" w:hAnsi="新宋体" w:eastAsia="新宋体" w:cs="黑体"/>
        <w:color w:val="000000"/>
        <w:kern w:val="0"/>
        <w:sz w:val="18"/>
        <w:szCs w:val="18"/>
        <w:lang w:val="en-US" w:eastAsia="zh-CN"/>
      </w:rPr>
      <w:t xml:space="preserve"> </w:t>
    </w:r>
    <w:r>
      <w:rPr>
        <w:rFonts w:hint="eastAsia" w:ascii="新宋体" w:hAnsi="新宋体" w:eastAsia="新宋体" w:cs="黑体"/>
        <w:color w:val="000000"/>
        <w:kern w:val="0"/>
        <w:sz w:val="18"/>
        <w:szCs w:val="18"/>
        <w:lang w:eastAsia="zh-CN"/>
      </w:rPr>
      <w:t>湖北省十堰市茅箭区东城经济技术开发区天津路35号</w:t>
    </w:r>
    <w:r>
      <w:rPr>
        <w:rFonts w:hint="eastAsia" w:ascii="新宋体" w:hAnsi="新宋体" w:eastAsia="新宋体" w:cs="黑体"/>
        <w:color w:val="000000"/>
        <w:kern w:val="0"/>
        <w:sz w:val="18"/>
        <w:szCs w:val="18"/>
        <w:lang w:val="en-US" w:eastAsia="zh-CN"/>
      </w:rPr>
      <w:t xml:space="preserve">1幢22-4                     </w:t>
    </w:r>
  </w:p>
  <w:p>
    <w:pPr>
      <w:pStyle w:val="9"/>
      <w:pBdr>
        <w:top w:val="single" w:color="auto" w:sz="4" w:space="2"/>
      </w:pBdr>
      <w:tabs>
        <w:tab w:val="left" w:pos="9975"/>
      </w:tabs>
      <w:ind w:left="8084" w:hanging="8084" w:hangingChars="4700"/>
      <w:jc w:val="both"/>
      <w:rPr>
        <w:rFonts w:ascii="宋体" w:hAnsi="宋体"/>
        <w:bCs/>
        <w:spacing w:val="-4"/>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keepNext/>
      <w:pBdr>
        <w:bottom w:val="single" w:color="auto" w:sz="6" w:space="0"/>
      </w:pBdr>
      <w:jc w:val="both"/>
      <w:rPr>
        <w:rFonts w:hint="eastAsia" w:ascii="宋体" w:hAnsi="宋体"/>
      </w:rPr>
    </w:pPr>
    <w:r>
      <w:rPr>
        <w:rFonts w:ascii="宋体" w:hAnsi="宋体"/>
      </w:rPr>
      <w:drawing>
        <wp:inline distT="0" distB="0" distL="114300" distR="114300">
          <wp:extent cx="243205" cy="229235"/>
          <wp:effectExtent l="0" t="0" r="4445" b="18415"/>
          <wp:docPr id="6" name="图片 1"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图形1"/>
                  <pic:cNvPicPr>
                    <a:picLocks noChangeAspect="1"/>
                  </pic:cNvPicPr>
                </pic:nvPicPr>
                <pic:blipFill>
                  <a:blip r:embed="rId1"/>
                  <a:stretch>
                    <a:fillRect/>
                  </a:stretch>
                </pic:blipFill>
                <pic:spPr>
                  <a:xfrm>
                    <a:off x="0" y="0"/>
                    <a:ext cx="243205" cy="229235"/>
                  </a:xfrm>
                  <a:prstGeom prst="rect">
                    <a:avLst/>
                  </a:prstGeom>
                  <a:noFill/>
                  <a:ln>
                    <a:noFill/>
                  </a:ln>
                </pic:spPr>
              </pic:pic>
            </a:graphicData>
          </a:graphic>
        </wp:inline>
      </w:drawing>
    </w:r>
    <w:r>
      <w:rPr>
        <w:rFonts w:hint="eastAsia" w:ascii="宋体" w:hAnsi="宋体"/>
        <w:bCs/>
        <w:szCs w:val="21"/>
      </w:rPr>
      <w:t>德高估价</w:t>
    </w:r>
    <w:r>
      <w:rPr>
        <w:rFonts w:hint="eastAsia" w:ascii="宋体" w:hAnsi="宋体"/>
        <w:bCs/>
        <w:spacing w:val="6"/>
      </w:rPr>
      <w:t xml:space="preserve">               </w:t>
    </w:r>
    <w:r>
      <w:rPr>
        <w:rFonts w:hint="eastAsia" w:ascii="宋体" w:hAnsi="宋体"/>
        <w:bCs/>
        <w:spacing w:val="6"/>
        <w:lang w:val="en-US" w:eastAsia="zh-CN"/>
      </w:rPr>
      <w:t xml:space="preserve">    </w:t>
    </w:r>
    <w:r>
      <w:rPr>
        <w:rFonts w:hint="eastAsia" w:ascii="宋体" w:hAnsi="宋体"/>
        <w:bCs/>
        <w:spacing w:val="6"/>
      </w:rPr>
      <w:t>房地产</w:t>
    </w:r>
    <w:r>
      <w:rPr>
        <w:rFonts w:hint="eastAsia" w:ascii="宋体" w:hAnsi="宋体"/>
        <w:bCs/>
        <w:spacing w:val="6"/>
        <w:lang w:val="en-US" w:eastAsia="zh-CN"/>
      </w:rPr>
      <w:t>市场租赁价格评估</w:t>
    </w:r>
    <w:r>
      <w:rPr>
        <w:rFonts w:hint="eastAsia" w:ascii="宋体" w:hAnsi="宋体"/>
        <w:bCs/>
        <w:szCs w:val="21"/>
      </w:rPr>
      <w:t>报告</w:t>
    </w:r>
    <w:r>
      <w:rPr>
        <w:rFonts w:hint="eastAsia" w:ascii="宋体" w:hAnsi="宋体"/>
        <w:bCs/>
      </w:rPr>
      <w:t xml:space="preserve">                  </w:t>
    </w:r>
    <w:r>
      <w:rPr>
        <w:rFonts w:hint="eastAsia" w:ascii="宋体" w:hAnsi="宋体"/>
        <w:bCs/>
        <w:lang w:val="en-US" w:eastAsia="zh-CN"/>
      </w:rPr>
      <w:t xml:space="preserve"> </w:t>
    </w:r>
    <w:r>
      <w:rPr>
        <w:rFonts w:hint="eastAsia" w:ascii="宋体" w:hAnsi="宋体"/>
        <w:bCs/>
      </w:rPr>
      <w:t xml:space="preserve">   </w:t>
    </w:r>
    <w:r>
      <w:rPr>
        <w:rFonts w:hint="eastAsia" w:ascii="宋体" w:hAnsi="宋体"/>
        <w:bCs/>
        <w:szCs w:val="21"/>
      </w:rPr>
      <w:t xml:space="preserve">第 </w:t>
    </w:r>
    <w:r>
      <w:rPr>
        <w:rFonts w:ascii="宋体" w:hAnsi="宋体"/>
        <w:bCs/>
        <w:szCs w:val="21"/>
      </w:rPr>
      <w:fldChar w:fldCharType="begin"/>
    </w:r>
    <w:r>
      <w:rPr>
        <w:rFonts w:ascii="宋体" w:hAnsi="宋体"/>
        <w:bCs/>
        <w:szCs w:val="21"/>
      </w:rPr>
      <w:instrText xml:space="preserve"> PAGE </w:instrText>
    </w:r>
    <w:r>
      <w:rPr>
        <w:rFonts w:ascii="宋体" w:hAnsi="宋体"/>
        <w:bCs/>
        <w:szCs w:val="21"/>
      </w:rPr>
      <w:fldChar w:fldCharType="separate"/>
    </w:r>
    <w:r>
      <w:rPr>
        <w:rFonts w:ascii="宋体" w:hAnsi="宋体"/>
        <w:bCs/>
        <w:szCs w:val="21"/>
      </w:rPr>
      <w:t>18</w:t>
    </w:r>
    <w:r>
      <w:rPr>
        <w:rFonts w:ascii="宋体" w:hAnsi="宋体"/>
        <w:bCs/>
        <w:szCs w:val="21"/>
      </w:rPr>
      <w:fldChar w:fldCharType="end"/>
    </w:r>
    <w:r>
      <w:rPr>
        <w:rFonts w:hint="eastAsia" w:ascii="宋体" w:hAnsi="宋体"/>
        <w:bCs/>
        <w:szCs w:val="21"/>
      </w:rPr>
      <w:t xml:space="preserve"> 页</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BlMTY3NDQ3YmNlZGJlZTljNzQxZjZlZTFhYTliZjEifQ=="/>
  </w:docVars>
  <w:rsids>
    <w:rsidRoot w:val="50355129"/>
    <w:rsid w:val="00112765"/>
    <w:rsid w:val="004E1163"/>
    <w:rsid w:val="01691698"/>
    <w:rsid w:val="01DE14AB"/>
    <w:rsid w:val="02A4762E"/>
    <w:rsid w:val="031917F2"/>
    <w:rsid w:val="03394B71"/>
    <w:rsid w:val="0370648F"/>
    <w:rsid w:val="051E2E95"/>
    <w:rsid w:val="056F0B5D"/>
    <w:rsid w:val="05AF4723"/>
    <w:rsid w:val="06986825"/>
    <w:rsid w:val="07C322D2"/>
    <w:rsid w:val="09A33A8D"/>
    <w:rsid w:val="09AD50B5"/>
    <w:rsid w:val="0A6D36D9"/>
    <w:rsid w:val="0A6F38BD"/>
    <w:rsid w:val="0AAD62F5"/>
    <w:rsid w:val="0AB177CD"/>
    <w:rsid w:val="0AF9240D"/>
    <w:rsid w:val="0BF84D12"/>
    <w:rsid w:val="0CED19E2"/>
    <w:rsid w:val="0D646ADC"/>
    <w:rsid w:val="0E6F6B44"/>
    <w:rsid w:val="0EB5348A"/>
    <w:rsid w:val="0F2B3AAD"/>
    <w:rsid w:val="0FA21269"/>
    <w:rsid w:val="103B2A26"/>
    <w:rsid w:val="10AF14EC"/>
    <w:rsid w:val="10CC4566"/>
    <w:rsid w:val="10F040BD"/>
    <w:rsid w:val="112206A8"/>
    <w:rsid w:val="116878D1"/>
    <w:rsid w:val="11A93797"/>
    <w:rsid w:val="1204559F"/>
    <w:rsid w:val="14703EE7"/>
    <w:rsid w:val="1583239F"/>
    <w:rsid w:val="15BC166C"/>
    <w:rsid w:val="178B628F"/>
    <w:rsid w:val="18082AF3"/>
    <w:rsid w:val="184A6159"/>
    <w:rsid w:val="18EA7769"/>
    <w:rsid w:val="190B4B5B"/>
    <w:rsid w:val="19904D26"/>
    <w:rsid w:val="1AAF39BB"/>
    <w:rsid w:val="1B4005E9"/>
    <w:rsid w:val="1BC87F72"/>
    <w:rsid w:val="1D517558"/>
    <w:rsid w:val="1EF603C7"/>
    <w:rsid w:val="1F521516"/>
    <w:rsid w:val="20193C54"/>
    <w:rsid w:val="205708F6"/>
    <w:rsid w:val="20D661F5"/>
    <w:rsid w:val="21207E12"/>
    <w:rsid w:val="216C56DD"/>
    <w:rsid w:val="22423E92"/>
    <w:rsid w:val="22537AF9"/>
    <w:rsid w:val="22FF7647"/>
    <w:rsid w:val="23AB0E07"/>
    <w:rsid w:val="246D6B30"/>
    <w:rsid w:val="24BA4C59"/>
    <w:rsid w:val="24F8315D"/>
    <w:rsid w:val="252F7E4C"/>
    <w:rsid w:val="255D2175"/>
    <w:rsid w:val="25996AA9"/>
    <w:rsid w:val="25CC7C4B"/>
    <w:rsid w:val="264A0E4E"/>
    <w:rsid w:val="267B0FC4"/>
    <w:rsid w:val="2ADE489A"/>
    <w:rsid w:val="2BAC7E31"/>
    <w:rsid w:val="2BF56D6D"/>
    <w:rsid w:val="2CB00136"/>
    <w:rsid w:val="2D6707E6"/>
    <w:rsid w:val="2D7E15BE"/>
    <w:rsid w:val="2E236CDA"/>
    <w:rsid w:val="2E2D2E28"/>
    <w:rsid w:val="2EB62CCB"/>
    <w:rsid w:val="2F3B7772"/>
    <w:rsid w:val="2F567B10"/>
    <w:rsid w:val="31620FB6"/>
    <w:rsid w:val="31CE2484"/>
    <w:rsid w:val="324D5BC2"/>
    <w:rsid w:val="32AB6283"/>
    <w:rsid w:val="333E67F2"/>
    <w:rsid w:val="33E235E8"/>
    <w:rsid w:val="33E30AA9"/>
    <w:rsid w:val="348329CA"/>
    <w:rsid w:val="34B649BC"/>
    <w:rsid w:val="356462FE"/>
    <w:rsid w:val="36417575"/>
    <w:rsid w:val="3825711F"/>
    <w:rsid w:val="384D5855"/>
    <w:rsid w:val="3883099A"/>
    <w:rsid w:val="38916141"/>
    <w:rsid w:val="39114429"/>
    <w:rsid w:val="394F2301"/>
    <w:rsid w:val="396F30B5"/>
    <w:rsid w:val="3A315B89"/>
    <w:rsid w:val="3A3E05D1"/>
    <w:rsid w:val="3B1D16B7"/>
    <w:rsid w:val="3CE87C28"/>
    <w:rsid w:val="3D43586C"/>
    <w:rsid w:val="3D9464B1"/>
    <w:rsid w:val="3DAB7ADD"/>
    <w:rsid w:val="3EF30CAA"/>
    <w:rsid w:val="3F6753F2"/>
    <w:rsid w:val="405843B4"/>
    <w:rsid w:val="405E6567"/>
    <w:rsid w:val="40964235"/>
    <w:rsid w:val="409A6E77"/>
    <w:rsid w:val="426D5148"/>
    <w:rsid w:val="427C491A"/>
    <w:rsid w:val="42D519F7"/>
    <w:rsid w:val="43872AA0"/>
    <w:rsid w:val="43F64EFD"/>
    <w:rsid w:val="445F7575"/>
    <w:rsid w:val="44AB1805"/>
    <w:rsid w:val="45AC3F0F"/>
    <w:rsid w:val="471350A1"/>
    <w:rsid w:val="47264116"/>
    <w:rsid w:val="47C1736C"/>
    <w:rsid w:val="47E96E4D"/>
    <w:rsid w:val="482C71C0"/>
    <w:rsid w:val="48D47FD8"/>
    <w:rsid w:val="4A027B60"/>
    <w:rsid w:val="4AE56116"/>
    <w:rsid w:val="4AFA0246"/>
    <w:rsid w:val="4B730039"/>
    <w:rsid w:val="4B8D2685"/>
    <w:rsid w:val="4C981A35"/>
    <w:rsid w:val="4D2529C6"/>
    <w:rsid w:val="4DCE02AC"/>
    <w:rsid w:val="4DDB58A8"/>
    <w:rsid w:val="4E705954"/>
    <w:rsid w:val="50355129"/>
    <w:rsid w:val="505D5DE3"/>
    <w:rsid w:val="521106C0"/>
    <w:rsid w:val="524E4EF5"/>
    <w:rsid w:val="53013145"/>
    <w:rsid w:val="531B2185"/>
    <w:rsid w:val="5446140F"/>
    <w:rsid w:val="56D50EB3"/>
    <w:rsid w:val="57811AFA"/>
    <w:rsid w:val="58110AF1"/>
    <w:rsid w:val="58D504D4"/>
    <w:rsid w:val="58DF3963"/>
    <w:rsid w:val="59263F8D"/>
    <w:rsid w:val="59323D81"/>
    <w:rsid w:val="59732655"/>
    <w:rsid w:val="59DC358D"/>
    <w:rsid w:val="59E106A9"/>
    <w:rsid w:val="5A645FCE"/>
    <w:rsid w:val="5A790A42"/>
    <w:rsid w:val="5AB1163E"/>
    <w:rsid w:val="5ACE7C81"/>
    <w:rsid w:val="5AE47D25"/>
    <w:rsid w:val="5B44448B"/>
    <w:rsid w:val="5B902A72"/>
    <w:rsid w:val="5B9B686E"/>
    <w:rsid w:val="5C0B1A39"/>
    <w:rsid w:val="5C2F28A4"/>
    <w:rsid w:val="5C545B11"/>
    <w:rsid w:val="5C985A45"/>
    <w:rsid w:val="5DBB27CE"/>
    <w:rsid w:val="5DFE559A"/>
    <w:rsid w:val="5F037C71"/>
    <w:rsid w:val="5FBD505D"/>
    <w:rsid w:val="60343DDF"/>
    <w:rsid w:val="60FF2059"/>
    <w:rsid w:val="64051E72"/>
    <w:rsid w:val="640B2E77"/>
    <w:rsid w:val="6472625A"/>
    <w:rsid w:val="65191366"/>
    <w:rsid w:val="651A0A04"/>
    <w:rsid w:val="651A60D0"/>
    <w:rsid w:val="6641265C"/>
    <w:rsid w:val="6649145F"/>
    <w:rsid w:val="69085DE3"/>
    <w:rsid w:val="6A1A0276"/>
    <w:rsid w:val="6A5E3852"/>
    <w:rsid w:val="6A7D07C5"/>
    <w:rsid w:val="6AFF7AAF"/>
    <w:rsid w:val="6B6F0784"/>
    <w:rsid w:val="6C207EFD"/>
    <w:rsid w:val="6DA80486"/>
    <w:rsid w:val="6DCA4052"/>
    <w:rsid w:val="6DF864D8"/>
    <w:rsid w:val="6E1351BA"/>
    <w:rsid w:val="6E355630"/>
    <w:rsid w:val="6F3E37C4"/>
    <w:rsid w:val="6F526691"/>
    <w:rsid w:val="6F802453"/>
    <w:rsid w:val="6F91064D"/>
    <w:rsid w:val="70A74A37"/>
    <w:rsid w:val="70E00F14"/>
    <w:rsid w:val="70E52B15"/>
    <w:rsid w:val="71B61D0C"/>
    <w:rsid w:val="72082CDC"/>
    <w:rsid w:val="726F6B0F"/>
    <w:rsid w:val="72A362E4"/>
    <w:rsid w:val="72B2583C"/>
    <w:rsid w:val="735C065E"/>
    <w:rsid w:val="735F2027"/>
    <w:rsid w:val="739A3300"/>
    <w:rsid w:val="743A5636"/>
    <w:rsid w:val="744516C7"/>
    <w:rsid w:val="74502D38"/>
    <w:rsid w:val="756F5592"/>
    <w:rsid w:val="75723E7B"/>
    <w:rsid w:val="75935695"/>
    <w:rsid w:val="75C064A8"/>
    <w:rsid w:val="76620F7A"/>
    <w:rsid w:val="770022E3"/>
    <w:rsid w:val="773A52AB"/>
    <w:rsid w:val="776A1998"/>
    <w:rsid w:val="77E06C2D"/>
    <w:rsid w:val="78427528"/>
    <w:rsid w:val="792131DE"/>
    <w:rsid w:val="7AC06534"/>
    <w:rsid w:val="7B643914"/>
    <w:rsid w:val="7B8E36DC"/>
    <w:rsid w:val="7C28731C"/>
    <w:rsid w:val="7EB04914"/>
    <w:rsid w:val="7F346BB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3"/>
    <w:next w:val="1"/>
    <w:autoRedefine/>
    <w:qFormat/>
    <w:uiPriority w:val="0"/>
    <w:pPr>
      <w:keepNext/>
      <w:keepLines/>
      <w:spacing w:before="340" w:after="330" w:line="578" w:lineRule="auto"/>
      <w:outlineLvl w:val="0"/>
    </w:pPr>
    <w:rPr>
      <w:kern w:val="44"/>
      <w:sz w:val="44"/>
      <w:szCs w:val="44"/>
    </w:rPr>
  </w:style>
  <w:style w:type="paragraph" w:styleId="4">
    <w:name w:val="heading 2"/>
    <w:basedOn w:val="1"/>
    <w:next w:val="5"/>
    <w:qFormat/>
    <w:uiPriority w:val="0"/>
    <w:pPr>
      <w:keepNext/>
      <w:outlineLvl w:val="1"/>
    </w:pPr>
    <w:rPr>
      <w:rFonts w:ascii="仿宋_GB2312" w:eastAsia="仿宋_GB2312"/>
      <w:sz w:val="28"/>
      <w:szCs w:val="20"/>
    </w:rPr>
  </w:style>
  <w:style w:type="character" w:default="1" w:styleId="13">
    <w:name w:val="Default Paragraph Font"/>
    <w:link w:val="14"/>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3">
    <w:name w:val="Title"/>
    <w:basedOn w:val="1"/>
    <w:next w:val="1"/>
    <w:qFormat/>
    <w:uiPriority w:val="0"/>
    <w:pPr>
      <w:spacing w:before="240" w:after="60"/>
      <w:jc w:val="center"/>
      <w:outlineLvl w:val="0"/>
    </w:pPr>
    <w:rPr>
      <w:rFonts w:ascii="Cambria" w:hAnsi="Cambria"/>
      <w:b/>
      <w:bCs/>
      <w:sz w:val="32"/>
      <w:szCs w:val="32"/>
    </w:rPr>
  </w:style>
  <w:style w:type="paragraph" w:styleId="5">
    <w:name w:val="Normal Indent"/>
    <w:basedOn w:val="1"/>
    <w:autoRedefine/>
    <w:qFormat/>
    <w:uiPriority w:val="0"/>
    <w:pPr>
      <w:ind w:firstLine="420"/>
    </w:pPr>
    <w:rPr>
      <w:szCs w:val="20"/>
    </w:rPr>
  </w:style>
  <w:style w:type="paragraph" w:styleId="6">
    <w:name w:val="Salutation"/>
    <w:basedOn w:val="1"/>
    <w:next w:val="1"/>
    <w:autoRedefine/>
    <w:qFormat/>
    <w:uiPriority w:val="0"/>
    <w:rPr>
      <w:rFonts w:ascii="仿宋_GB2312" w:hAnsi="宋体" w:eastAsia="仿宋_GB2312"/>
      <w:sz w:val="28"/>
      <w:szCs w:val="28"/>
    </w:rPr>
  </w:style>
  <w:style w:type="paragraph" w:styleId="7">
    <w:name w:val="Body Text"/>
    <w:basedOn w:val="1"/>
    <w:autoRedefine/>
    <w:qFormat/>
    <w:uiPriority w:val="0"/>
    <w:rPr>
      <w:sz w:val="24"/>
      <w:szCs w:val="18"/>
    </w:rPr>
  </w:style>
  <w:style w:type="paragraph" w:styleId="8">
    <w:name w:val="Plain Text"/>
    <w:basedOn w:val="1"/>
    <w:qFormat/>
    <w:uiPriority w:val="0"/>
    <w:rPr>
      <w:rFonts w:ascii="宋体" w:hAnsi="Courier New"/>
      <w:szCs w:val="21"/>
    </w:rPr>
  </w:style>
  <w:style w:type="paragraph" w:styleId="9">
    <w:name w:val="footer"/>
    <w:basedOn w:val="1"/>
    <w:autoRedefine/>
    <w:qFormat/>
    <w:uiPriority w:val="0"/>
    <w:pPr>
      <w:tabs>
        <w:tab w:val="center" w:pos="4153"/>
        <w:tab w:val="right" w:pos="8306"/>
      </w:tabs>
      <w:adjustRightInd w:val="0"/>
      <w:spacing w:line="240" w:lineRule="atLeast"/>
      <w:jc w:val="left"/>
      <w:textAlignment w:val="baseline"/>
    </w:pPr>
    <w:rPr>
      <w:kern w:val="0"/>
      <w:sz w:val="18"/>
      <w:szCs w:val="20"/>
    </w:rPr>
  </w:style>
  <w:style w:type="paragraph" w:styleId="10">
    <w:name w:val="header"/>
    <w:basedOn w:val="1"/>
    <w:autoRedefine/>
    <w:qFormat/>
    <w:uiPriority w:val="0"/>
    <w:pPr>
      <w:pBdr>
        <w:bottom w:val="single" w:color="auto" w:sz="6" w:space="1"/>
      </w:pBdr>
      <w:tabs>
        <w:tab w:val="center" w:pos="4153"/>
        <w:tab w:val="right" w:pos="8306"/>
      </w:tabs>
      <w:adjustRightInd w:val="0"/>
      <w:spacing w:line="240" w:lineRule="atLeast"/>
      <w:jc w:val="center"/>
      <w:textAlignment w:val="baseline"/>
    </w:pPr>
    <w:rPr>
      <w:kern w:val="0"/>
      <w:sz w:val="18"/>
      <w:szCs w:val="20"/>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
    <w:name w:val=" 字元"/>
    <w:basedOn w:val="1"/>
    <w:link w:val="13"/>
    <w:autoRedefine/>
    <w:qFormat/>
    <w:uiPriority w:val="0"/>
    <w:pPr>
      <w:widowControl/>
      <w:tabs>
        <w:tab w:val="left" w:pos="4665"/>
        <w:tab w:val="left" w:pos="8970"/>
      </w:tabs>
      <w:ind w:firstLine="400"/>
    </w:pPr>
  </w:style>
  <w:style w:type="character" w:styleId="15">
    <w:name w:val="page number"/>
    <w:basedOn w:val="13"/>
    <w:autoRedefine/>
    <w:qFormat/>
    <w:uiPriority w:val="0"/>
  </w:style>
  <w:style w:type="paragraph" w:customStyle="1" w:styleId="16">
    <w:name w:val="1"/>
    <w:basedOn w:val="1"/>
    <w:next w:val="8"/>
    <w:qFormat/>
    <w:uiPriority w:val="0"/>
    <w:rPr>
      <w:rFonts w:ascii="宋体" w:hAnsi="Courier New"/>
      <w:sz w:val="28"/>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6242</Words>
  <Characters>6694</Characters>
  <Lines>0</Lines>
  <Paragraphs>0</Paragraphs>
  <TotalTime>0</TotalTime>
  <ScaleCrop>false</ScaleCrop>
  <LinksUpToDate>false</LinksUpToDate>
  <CharactersWithSpaces>7809</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2019-07-02T07:23:00Z</dcterms:created>
  <dc:creator>绚丽的烟花炸的太过刺眼</dc:creator>
  <cp:lastModifiedBy>钦然</cp:lastModifiedBy>
  <cp:lastPrinted>2024-04-26T02:14:42Z</cp:lastPrinted>
  <dcterms:modified xsi:type="dcterms:W3CDTF">2024-04-26T02:15:19Z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F2E733600792422F9E6CEEF72CB1686D</vt:lpwstr>
  </property>
</Properties>
</file>